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D4F" w:rsidRPr="00D055BA" w:rsidRDefault="00EA71E4" w:rsidP="00D055BA">
      <w:pPr>
        <w:pStyle w:val="Abstract-Titel"/>
        <w:rPr>
          <w:lang w:val="en-US"/>
        </w:rPr>
      </w:pPr>
      <w:proofErr w:type="spellStart"/>
      <w:r w:rsidRPr="00D055BA">
        <w:rPr>
          <w:lang w:val="en-US"/>
        </w:rPr>
        <w:t>DHexpPot</w:t>
      </w:r>
      <w:proofErr w:type="spellEnd"/>
      <w:r w:rsidR="00D055BA">
        <w:rPr>
          <w:lang w:val="en-US"/>
        </w:rPr>
        <w:t xml:space="preserve">: </w:t>
      </w:r>
      <w:r w:rsidR="00D055BA" w:rsidRPr="00D055BA">
        <w:rPr>
          <w:lang w:val="en-US"/>
        </w:rPr>
        <w:t>A sensitivity analysis model on district heating potentials &amp; costs</w:t>
      </w:r>
    </w:p>
    <w:p w:rsidR="00BF05FA" w:rsidRPr="00D055BA" w:rsidRDefault="00D055BA" w:rsidP="00A156E4">
      <w:pPr>
        <w:pStyle w:val="AutorenOrganisation"/>
      </w:pPr>
      <w:r w:rsidRPr="00D055BA">
        <w:t>Integrierte Netze der Zukunft</w:t>
      </w:r>
    </w:p>
    <w:p w:rsidR="005E4D4F" w:rsidRPr="002902CA" w:rsidRDefault="00D055BA" w:rsidP="00A156E4">
      <w:pPr>
        <w:pStyle w:val="AutorenOrganisation"/>
      </w:pPr>
      <w:r w:rsidRPr="002902CA">
        <w:t>Mostafa Fallahnejad</w:t>
      </w:r>
      <w:r w:rsidR="005E4D4F" w:rsidRPr="00010E92">
        <w:rPr>
          <w:vertAlign w:val="superscript"/>
        </w:rPr>
        <w:footnoteReference w:id="1"/>
      </w:r>
      <w:r w:rsidR="0084567D" w:rsidRPr="002902CA">
        <w:t xml:space="preserve"> </w:t>
      </w:r>
      <w:r w:rsidR="00A156E4" w:rsidRPr="002902CA">
        <w:rPr>
          <w:vertAlign w:val="superscript"/>
        </w:rPr>
        <w:t>(1)</w:t>
      </w:r>
    </w:p>
    <w:p w:rsidR="005E4D4F" w:rsidRPr="00B8009A" w:rsidRDefault="00A156E4" w:rsidP="005E4D4F">
      <w:pPr>
        <w:pStyle w:val="AutorenOrganisation"/>
        <w:rPr>
          <w:lang w:val="en-US"/>
        </w:rPr>
      </w:pPr>
      <w:r w:rsidRPr="00B8009A">
        <w:rPr>
          <w:vertAlign w:val="superscript"/>
          <w:lang w:val="en-US"/>
        </w:rPr>
        <w:t>(</w:t>
      </w:r>
      <w:r w:rsidR="00010E92" w:rsidRPr="00B8009A">
        <w:rPr>
          <w:vertAlign w:val="superscript"/>
          <w:lang w:val="en-US"/>
        </w:rPr>
        <w:t>1</w:t>
      </w:r>
      <w:r w:rsidRPr="00B8009A">
        <w:rPr>
          <w:vertAlign w:val="superscript"/>
          <w:lang w:val="en-US"/>
        </w:rPr>
        <w:t>)</w:t>
      </w:r>
      <w:r w:rsidR="00D055BA" w:rsidRPr="00B8009A">
        <w:rPr>
          <w:vertAlign w:val="superscript"/>
          <w:lang w:val="en-US"/>
        </w:rPr>
        <w:t xml:space="preserve"> </w:t>
      </w:r>
      <w:r w:rsidR="00B8009A" w:rsidRPr="00B8009A">
        <w:rPr>
          <w:lang w:val="en-US"/>
        </w:rPr>
        <w:t>TU</w:t>
      </w:r>
      <w:r w:rsidR="00D055BA" w:rsidRPr="00B8009A">
        <w:rPr>
          <w:lang w:val="en-US"/>
        </w:rPr>
        <w:t xml:space="preserve"> Wien</w:t>
      </w:r>
      <w:r w:rsidR="00B8009A" w:rsidRPr="00B8009A">
        <w:rPr>
          <w:lang w:val="en-US"/>
        </w:rPr>
        <w:t xml:space="preserve"> – Energy Economics Group</w:t>
      </w:r>
    </w:p>
    <w:p w:rsidR="00A07737" w:rsidRPr="00B8009A" w:rsidRDefault="00A07737" w:rsidP="00FB69AE">
      <w:pPr>
        <w:rPr>
          <w:lang w:val="en-US"/>
        </w:rPr>
      </w:pPr>
    </w:p>
    <w:p w:rsidR="005E4D4F" w:rsidRPr="00D055BA" w:rsidRDefault="00D055BA" w:rsidP="005E4D4F">
      <w:pPr>
        <w:pStyle w:val="Ueberschrift"/>
        <w:rPr>
          <w:lang w:val="en-US"/>
        </w:rPr>
      </w:pPr>
      <w:r w:rsidRPr="00D055BA">
        <w:rPr>
          <w:lang w:val="en-US"/>
        </w:rPr>
        <w:t>Motivation and resear</w:t>
      </w:r>
      <w:r>
        <w:rPr>
          <w:lang w:val="en-US"/>
        </w:rPr>
        <w:t>ch question</w:t>
      </w:r>
    </w:p>
    <w:p w:rsidR="002902CA" w:rsidRDefault="00D055BA" w:rsidP="002902CA">
      <w:pPr>
        <w:rPr>
          <w:lang w:val="en-US"/>
        </w:rPr>
      </w:pPr>
      <w:r>
        <w:rPr>
          <w:lang w:val="en-US"/>
        </w:rPr>
        <w:t>From economic and environmental points of view, d</w:t>
      </w:r>
      <w:r w:rsidRPr="00D055BA">
        <w:rPr>
          <w:lang w:val="en-US"/>
        </w:rPr>
        <w:t>i</w:t>
      </w:r>
      <w:r>
        <w:rPr>
          <w:lang w:val="en-US"/>
        </w:rPr>
        <w:t xml:space="preserve">strict heating </w:t>
      </w:r>
      <w:r w:rsidR="00034B25">
        <w:rPr>
          <w:lang w:val="en-US"/>
        </w:rPr>
        <w:t xml:space="preserve">(DH) </w:t>
      </w:r>
      <w:r>
        <w:rPr>
          <w:lang w:val="en-US"/>
        </w:rPr>
        <w:t>should be based on the low cost and low emission heat generation.</w:t>
      </w:r>
      <w:r w:rsidR="003A2E9E">
        <w:rPr>
          <w:lang w:val="en-US"/>
        </w:rPr>
        <w:t xml:space="preserve"> </w:t>
      </w:r>
      <w:r w:rsidR="002902CA">
        <w:rPr>
          <w:lang w:val="en-US"/>
        </w:rPr>
        <w:t>Besides that</w:t>
      </w:r>
      <w:r w:rsidR="00BA3EE4">
        <w:rPr>
          <w:lang w:val="en-US"/>
        </w:rPr>
        <w:t>, in order to keep the DH system competitive, the summation of heat generation and distribution costs should be well below the cost of other heat supply options.</w:t>
      </w:r>
      <w:r w:rsidR="002902CA">
        <w:rPr>
          <w:lang w:val="en-US"/>
        </w:rPr>
        <w:t xml:space="preserve"> The i</w:t>
      </w:r>
      <w:r w:rsidR="00034B25">
        <w:rPr>
          <w:lang w:val="en-US"/>
        </w:rPr>
        <w:t>mplementat</w:t>
      </w:r>
      <w:r w:rsidR="00B56014">
        <w:rPr>
          <w:lang w:val="en-US"/>
        </w:rPr>
        <w:t>i</w:t>
      </w:r>
      <w:r w:rsidR="00034B25">
        <w:rPr>
          <w:lang w:val="en-US"/>
        </w:rPr>
        <w:t xml:space="preserve">on of a DH system and DH grid is capital intensive and requires long-term commitments. </w:t>
      </w:r>
      <w:r w:rsidR="00E52D87">
        <w:rPr>
          <w:lang w:val="en-US"/>
        </w:rPr>
        <w:t>The generation side is rather a local theme that</w:t>
      </w:r>
      <w:r w:rsidR="001145B3">
        <w:rPr>
          <w:lang w:val="en-US"/>
        </w:rPr>
        <w:t xml:space="preserve"> may</w:t>
      </w:r>
      <w:r w:rsidR="00E52D87">
        <w:rPr>
          <w:lang w:val="en-US"/>
        </w:rPr>
        <w:t xml:space="preserve"> differ</w:t>
      </w:r>
      <w:r w:rsidR="001145B3">
        <w:rPr>
          <w:lang w:val="en-US"/>
        </w:rPr>
        <w:t xml:space="preserve"> </w:t>
      </w:r>
      <w:r w:rsidR="00E52D87">
        <w:rPr>
          <w:lang w:val="en-US"/>
        </w:rPr>
        <w:t>from place to place</w:t>
      </w:r>
      <w:r w:rsidR="001145B3">
        <w:rPr>
          <w:lang w:val="en-US"/>
        </w:rPr>
        <w:t xml:space="preserve"> depending on the availability of heat sources</w:t>
      </w:r>
      <w:r w:rsidR="00E52D87">
        <w:rPr>
          <w:lang w:val="en-US"/>
        </w:rPr>
        <w:t xml:space="preserve">. </w:t>
      </w:r>
      <w:r w:rsidR="002902CA">
        <w:rPr>
          <w:lang w:val="en-US"/>
        </w:rPr>
        <w:t>T</w:t>
      </w:r>
      <w:r w:rsidR="00E52D87">
        <w:rPr>
          <w:lang w:val="en-US"/>
        </w:rPr>
        <w:t>he DH potential and required grid investment, on the other hand, can be studied by looking into the heat demand level</w:t>
      </w:r>
      <w:r w:rsidR="001145B3">
        <w:rPr>
          <w:lang w:val="en-US"/>
        </w:rPr>
        <w:t>s</w:t>
      </w:r>
      <w:r w:rsidR="002902CA">
        <w:rPr>
          <w:lang w:val="en-US"/>
        </w:rPr>
        <w:t xml:space="preserve"> and by u</w:t>
      </w:r>
      <w:r w:rsidR="002902CA">
        <w:rPr>
          <w:lang w:val="en-US"/>
        </w:rPr>
        <w:t xml:space="preserve">sing the </w:t>
      </w:r>
      <w:r w:rsidR="002902CA">
        <w:rPr>
          <w:lang w:val="en-US"/>
        </w:rPr>
        <w:t xml:space="preserve">existing </w:t>
      </w:r>
      <w:r w:rsidR="002902CA">
        <w:rPr>
          <w:lang w:val="en-US"/>
        </w:rPr>
        <w:t>methods</w:t>
      </w:r>
      <w:r w:rsidR="00E52D87">
        <w:rPr>
          <w:lang w:val="en-US"/>
        </w:rPr>
        <w:t xml:space="preserve">. </w:t>
      </w:r>
      <w:r w:rsidR="001145B3">
        <w:rPr>
          <w:lang w:val="en-US"/>
        </w:rPr>
        <w:t xml:space="preserve"> I</w:t>
      </w:r>
      <w:r w:rsidR="00E52D87">
        <w:rPr>
          <w:lang w:val="en-US"/>
        </w:rPr>
        <w:t>n this paper</w:t>
      </w:r>
      <w:r w:rsidR="001145B3">
        <w:rPr>
          <w:lang w:val="en-US"/>
        </w:rPr>
        <w:t>,</w:t>
      </w:r>
      <w:r w:rsidR="00E52D87">
        <w:rPr>
          <w:lang w:val="en-US"/>
        </w:rPr>
        <w:t xml:space="preserve"> the grid related aspects of implementing DH system</w:t>
      </w:r>
      <w:r w:rsidR="002902CA">
        <w:rPr>
          <w:lang w:val="en-US"/>
        </w:rPr>
        <w:t xml:space="preserve"> is studied in detail</w:t>
      </w:r>
      <w:r w:rsidR="00E52D87">
        <w:rPr>
          <w:lang w:val="en-US"/>
        </w:rPr>
        <w:t>.</w:t>
      </w:r>
      <w:r w:rsidR="002902CA">
        <w:rPr>
          <w:lang w:val="en-US"/>
        </w:rPr>
        <w:t xml:space="preserve"> An approach for estimation of present value of the existing grid infrastructure is introduced and economic aspects of expansion of DH grids are investigated. We look into gird-related O&amp;M costs and requirements for the re-investments in the grid. The impact of the plot ration and increasing DH market share is discussed qualitatively as a base for the proposed method.</w:t>
      </w:r>
    </w:p>
    <w:p w:rsidR="00904EE6" w:rsidRDefault="002902CA" w:rsidP="002A217A">
      <w:pPr>
        <w:rPr>
          <w:lang w:val="en-US"/>
        </w:rPr>
      </w:pPr>
      <w:r>
        <w:rPr>
          <w:lang w:val="en-US"/>
        </w:rPr>
        <w:t xml:space="preserve">The methodology will be </w:t>
      </w:r>
      <w:r w:rsidR="002A217A">
        <w:rPr>
          <w:lang w:val="en-US"/>
        </w:rPr>
        <w:t xml:space="preserve">implemented as a </w:t>
      </w:r>
      <w:r w:rsidR="001145B3">
        <w:rPr>
          <w:lang w:val="en-US"/>
        </w:rPr>
        <w:t>calculation module</w:t>
      </w:r>
      <w:r w:rsidR="002A217A">
        <w:rPr>
          <w:lang w:val="en-US"/>
        </w:rPr>
        <w:t xml:space="preserve"> (CM)</w:t>
      </w:r>
      <w:r w:rsidR="001145B3">
        <w:rPr>
          <w:lang w:val="en-US"/>
        </w:rPr>
        <w:t xml:space="preserve"> in the scope of the H2020 project </w:t>
      </w:r>
      <w:r w:rsidR="00E52D87">
        <w:rPr>
          <w:lang w:val="en-US"/>
        </w:rPr>
        <w:t xml:space="preserve">EnerMaps </w:t>
      </w:r>
      <w:r w:rsidR="00BA79D3">
        <w:rPr>
          <w:lang w:val="en-US"/>
        </w:rPr>
        <w:t>[1]</w:t>
      </w:r>
      <w:r w:rsidR="002A217A">
        <w:rPr>
          <w:lang w:val="en-US"/>
        </w:rPr>
        <w:t xml:space="preserve"> and will be available as </w:t>
      </w:r>
      <w:proofErr w:type="spellStart"/>
      <w:r w:rsidR="002A217A">
        <w:rPr>
          <w:lang w:val="en-US"/>
        </w:rPr>
        <w:t>DHexpPot</w:t>
      </w:r>
      <w:proofErr w:type="spellEnd"/>
      <w:r w:rsidR="002A217A">
        <w:rPr>
          <w:lang w:val="en-US"/>
        </w:rPr>
        <w:t xml:space="preserve"> CM in its Data </w:t>
      </w:r>
      <w:proofErr w:type="spellStart"/>
      <w:r w:rsidR="002A217A">
        <w:rPr>
          <w:lang w:val="en-US"/>
        </w:rPr>
        <w:t>Mangement</w:t>
      </w:r>
      <w:proofErr w:type="spellEnd"/>
      <w:r w:rsidR="002A217A">
        <w:rPr>
          <w:lang w:val="en-US"/>
        </w:rPr>
        <w:t xml:space="preserve"> Tool (DMT)</w:t>
      </w:r>
      <w:r w:rsidR="00904EE6">
        <w:rPr>
          <w:lang w:val="en-US"/>
        </w:rPr>
        <w:t>.</w:t>
      </w:r>
      <w:r w:rsidR="002A217A">
        <w:rPr>
          <w:lang w:val="en-US"/>
        </w:rPr>
        <w:t xml:space="preserve"> </w:t>
      </w:r>
      <w:proofErr w:type="spellStart"/>
      <w:r w:rsidR="002A217A">
        <w:rPr>
          <w:lang w:val="en-US"/>
        </w:rPr>
        <w:t>DHexpPot</w:t>
      </w:r>
      <w:proofErr w:type="spellEnd"/>
      <w:r w:rsidR="002A217A">
        <w:rPr>
          <w:lang w:val="en-US"/>
        </w:rPr>
        <w:t xml:space="preserve"> will additionally </w:t>
      </w:r>
      <w:r w:rsidR="00904EE6">
        <w:rPr>
          <w:lang w:val="en-US"/>
        </w:rPr>
        <w:t>assist</w:t>
      </w:r>
      <w:r w:rsidR="002A217A">
        <w:rPr>
          <w:lang w:val="en-US"/>
        </w:rPr>
        <w:t xml:space="preserve"> </w:t>
      </w:r>
      <w:r w:rsidR="00904EE6">
        <w:rPr>
          <w:lang w:val="en-US"/>
        </w:rPr>
        <w:t>users with sensitivity analyses on grid-related parameters.</w:t>
      </w:r>
    </w:p>
    <w:p w:rsidR="003A2E9E" w:rsidRPr="009A622E" w:rsidRDefault="003A2E9E" w:rsidP="00227125">
      <w:pPr>
        <w:rPr>
          <w:lang w:val="en-US"/>
        </w:rPr>
      </w:pPr>
    </w:p>
    <w:p w:rsidR="005E4D4F" w:rsidRPr="00BA3EE4" w:rsidRDefault="008D69A7" w:rsidP="005E4D4F">
      <w:pPr>
        <w:pStyle w:val="Ueberschrift"/>
        <w:rPr>
          <w:lang w:val="en-US"/>
        </w:rPr>
      </w:pPr>
      <w:r>
        <w:rPr>
          <w:lang w:val="en-US"/>
        </w:rPr>
        <w:t>Approach</w:t>
      </w:r>
    </w:p>
    <w:p w:rsidR="005E4D4F" w:rsidRPr="002902CA" w:rsidRDefault="005E4D4F" w:rsidP="00227125">
      <w:pPr>
        <w:rPr>
          <w:lang w:val="en-US"/>
        </w:rPr>
      </w:pPr>
    </w:p>
    <w:p w:rsidR="00281E76" w:rsidRDefault="008D69A7" w:rsidP="00281E76">
      <w:pPr>
        <w:rPr>
          <w:lang w:val="en-US"/>
        </w:rPr>
      </w:pPr>
      <w:r w:rsidRPr="008D69A7">
        <w:rPr>
          <w:lang w:val="en-US"/>
        </w:rPr>
        <w:t xml:space="preserve">To estimate the DH distribution capital cost, several independent input data such as pipe diameter, construction costs, interest rate, etc. are required. Persson et al. introduced a methodology to estimate the distribution capital costs in status quo </w:t>
      </w:r>
      <w:r>
        <w:fldChar w:fldCharType="begin"/>
      </w:r>
      <w:r w:rsidRPr="008D69A7">
        <w:rPr>
          <w:lang w:val="en-US"/>
        </w:rPr>
        <w:instrText xml:space="preserve"> ADDIN ZOTERO_ITEM CSL_CITATION {"citationID":"43bND2qn","properties":{"formattedCitation":"(Persson and Werner 2011; Persson et al. 2019)","plainCitation":"(Persson and Werner 2011; Persson et al. 2019)","noteIndex":0},"citationItems":[{"id":6,"uris":["http://zotero.org/users/6608874/items/WI87P5KG"],"uri":["http://zotero.org/users/6608874/items/WI87P5KG"],"itemData":{"id":6,"type":"article-journal","container-title":"Applied Energy","DOI":"10.1016/j.apenergy.2010.09.020","ISSN":"03062619","issue":"3","language":"en","page":"568-576","source":"CrossRef","title":"Heat distribution and the future competitiveness of district heating","volume":"88","author":[{"family":"Persson","given":"Urban"},{"family":"Werner","given":"Sven"}],"issued":{"date-parts":[["2011",3]]}}},{"id":561,"uris":["http://zotero.org/users/6608874/items/YLEARMQL"],"uri":["http://zotero.org/users/6608874/items/YLEARMQL"],"itemData":{"id":561,"type":"article-journal","abstract":"This analysis elaborates further the concept of physical and economic suitability for district heating in EU28 by an aggregation regarding key dimensions such as land areas, populations, heat demands, and investment volumes. This aggregation is based on a resolution on hectare level by slicing the total land area into 437 million pieces. Results show that heat demands in buildings are present in 9% of the land area. Because of high concentrations in towns and cities, 78% of the total heat demand in buildings originate from dense urban areas that constitute 1.4% of the total land area and 70% of the population. Due to these high heat densities above 50 MJ/m2 per year, the paper evaluates a setting where district heating is individually expanded in each member state for reaching a common 50% heat market proportion in EU28 at lowest cost. At this saturation rate, the aggregated EU28 district heat deliveries would increase to 5.4 EJ/a at current heat demands and represents an expansion investment volume, starting from current level of 1.3 EJ, of approximately 270 billion euro for heat distribution pipes. Given the current high heat densities in European urban areas, this study principally con</w:instrText>
      </w:r>
      <w:r>
        <w:instrText>ﬁ</w:instrText>
      </w:r>
      <w:r w:rsidRPr="008D69A7">
        <w:rPr>
          <w:lang w:val="en-US"/>
        </w:rPr>
        <w:instrText>rms earlier expectations by quantitative estimations.","container-title":"Energy","DOI":"10.1016/j.energy.2019.03.189","ISSN":"03605442","journalAbbreviation":"Energy","language":"en","page":"604-622","source":"DOI.org (Crossref)","title":"Heat Roadmap Europe: Heat distribution costs","title-short":"Heat Roadmap Europe","volume":"176","author":[{"family":"Persson","given":"Urban"},{"family":"Wiechers","given":"Eva"},{"family":"Möller","given":"Bernd"},{"family":"Werner","given":"Sven"}],"issued":{"date-parts":[["2019",6]]}}}],"schema":"https://github.com/citation-style-langu</w:instrText>
      </w:r>
      <w:r w:rsidRPr="00281E76">
        <w:rPr>
          <w:lang w:val="en-US"/>
        </w:rPr>
        <w:instrText xml:space="preserve">age/schema/raw/master/csl-citation.json"} </w:instrText>
      </w:r>
      <w:r>
        <w:fldChar w:fldCharType="separate"/>
      </w:r>
      <w:r w:rsidRPr="00281E76">
        <w:rPr>
          <w:lang w:val="en-US"/>
        </w:rPr>
        <w:t>(Persson and Werner 2011; Persson et al. 2019)</w:t>
      </w:r>
      <w:r>
        <w:fldChar w:fldCharType="end"/>
      </w:r>
      <w:r w:rsidRPr="00281E76">
        <w:rPr>
          <w:lang w:val="en-US"/>
        </w:rPr>
        <w:t>.</w:t>
      </w:r>
      <w:r w:rsidR="00281E76" w:rsidRPr="00281E76">
        <w:rPr>
          <w:lang w:val="en-US"/>
        </w:rPr>
        <w:t xml:space="preserve"> Subsequently, the capital costs in each pixel of the map is obtained using the </w:t>
      </w:r>
      <w:r w:rsidR="002A217A">
        <w:rPr>
          <w:lang w:val="en-US"/>
        </w:rPr>
        <w:t xml:space="preserve">following </w:t>
      </w:r>
      <w:r w:rsidR="00281E76" w:rsidRPr="00281E76">
        <w:rPr>
          <w:lang w:val="en-US"/>
        </w:rPr>
        <w:t>Formula.</w:t>
      </w:r>
    </w:p>
    <w:p w:rsidR="00AF44B1" w:rsidRDefault="00AF44B1" w:rsidP="00281E76">
      <w:pPr>
        <w:rPr>
          <w:lang w:val="en-US"/>
        </w:rPr>
      </w:pPr>
    </w:p>
    <w:p w:rsidR="00AF44B1" w:rsidRPr="00281E76" w:rsidRDefault="00B17D27" w:rsidP="00AF44B1">
      <w:pPr>
        <w:jc w:val="center"/>
        <w:rPr>
          <w:lang w:val="en-US"/>
        </w:rPr>
      </w:pPr>
      <w:r w:rsidRPr="00B17D27">
        <w:rPr>
          <w:sz w:val="16"/>
          <w:szCs w:val="20"/>
          <w:lang w:val="en-US"/>
        </w:rPr>
        <w:object w:dxaOrig="5333" w:dyaOrig="1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65pt;height:61.05pt" o:ole="">
            <v:imagedata r:id="rId7" o:title=""/>
          </v:shape>
          <o:OLEObject Type="Embed" ProgID="Equation.DSMT4" ShapeID="_x0000_i1025" DrawAspect="Content" ObjectID="_1683714760" r:id="rId8"/>
        </w:object>
      </w:r>
    </w:p>
    <w:p w:rsidR="00281E76" w:rsidRPr="00AE7A4F" w:rsidRDefault="00281E76" w:rsidP="00281E76">
      <w:pPr>
        <w:pStyle w:val="Els-body-text"/>
        <w:spacing w:line="276" w:lineRule="auto"/>
        <w:ind w:firstLine="706"/>
        <w:rPr>
          <w:sz w:val="24"/>
          <w:szCs w:val="24"/>
        </w:rPr>
      </w:pPr>
    </w:p>
    <w:p w:rsidR="00281E76" w:rsidRPr="00AE7A4F" w:rsidRDefault="002A217A" w:rsidP="00281E76">
      <w:pPr>
        <w:pStyle w:val="Els-body-text"/>
        <w:spacing w:line="276" w:lineRule="auto"/>
        <w:ind w:firstLine="706"/>
        <w:rPr>
          <w:rStyle w:val="texhtml"/>
        </w:rPr>
      </w:pPr>
      <m:oMathPara>
        <m:oMath>
          <m:r>
            <w:rPr>
              <w:rFonts w:ascii="Cambria Math" w:hAnsi="Cambria Math"/>
            </w:rPr>
            <m:t>w=A/</m:t>
          </m:r>
          <m:r>
            <w:rPr>
              <w:rFonts w:ascii="Cambria Math" w:hAnsi="Cambria Math"/>
            </w:rPr>
            <m:t>L=</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137.5*e+5                         0.0≤e≤0.4</m:t>
                  </m:r>
                </m:e>
                <m:e>
                  <m:r>
                    <w:rPr>
                      <w:rFonts w:ascii="Cambria Math" w:hAnsi="Cambria Math"/>
                    </w:rPr>
                    <m:t>60                                       0.4&lt;</m:t>
                  </m:r>
                  <m:r>
                    <w:rPr>
                      <w:rFonts w:ascii="Cambria Math" w:hAnsi="Cambria Math"/>
                    </w:rPr>
                    <m:t>e</m:t>
                  </m:r>
                </m:e>
              </m:eqArr>
            </m:e>
          </m:d>
        </m:oMath>
      </m:oMathPara>
    </w:p>
    <w:p w:rsidR="00281E76" w:rsidRPr="00AE7A4F" w:rsidRDefault="000B4AE9" w:rsidP="00281E76">
      <w:pPr>
        <w:pStyle w:val="Els-body-text"/>
        <w:spacing w:line="276" w:lineRule="auto"/>
        <w:ind w:firstLine="706"/>
        <w:rPr>
          <w:rStyle w:val="texhtml"/>
        </w:rPr>
      </w:pPr>
      <m:oMathPara>
        <m:oMath>
          <m:sSub>
            <m:sSubPr>
              <m:ctrlPr>
                <w:rPr>
                  <w:rStyle w:val="texhtml"/>
                  <w:rFonts w:ascii="Cambria Math" w:hAnsi="Cambria Math"/>
                  <w:i/>
                </w:rPr>
              </m:ctrlPr>
            </m:sSubPr>
            <m:e>
              <m:r>
                <w:rPr>
                  <w:rStyle w:val="texhtml"/>
                  <w:rFonts w:ascii="Cambria Math" w:hAnsi="Cambria Math"/>
                </w:rPr>
                <m:t>d</m:t>
              </m:r>
            </m:e>
            <m:sub>
              <m:r>
                <w:rPr>
                  <w:rStyle w:val="texhtml"/>
                  <w:rFonts w:ascii="Cambria Math" w:hAnsi="Cambria Math"/>
                </w:rPr>
                <m:t>a</m:t>
              </m:r>
            </m:sub>
          </m:sSub>
          <m:r>
            <w:rPr>
              <w:rStyle w:val="texhtml"/>
              <w:rFonts w:ascii="Cambria Math" w:hAnsi="Cambria Math"/>
            </w:rPr>
            <m:t>=0.0486</m:t>
          </m:r>
          <m:r>
            <m:rPr>
              <m:sty m:val="p"/>
            </m:rPr>
            <w:rPr>
              <w:rStyle w:val="texhtml"/>
              <w:rFonts w:ascii="Cambria Math" w:hAnsi="Cambria Math" w:cs="Cambria Math"/>
            </w:rPr>
            <m:t>⋅</m:t>
          </m:r>
          <m:func>
            <m:funcPr>
              <m:ctrlPr>
                <w:rPr>
                  <w:rStyle w:val="texhtml"/>
                  <w:rFonts w:ascii="Cambria Math" w:hAnsi="Cambria Math" w:cs="Cambria Math"/>
                </w:rPr>
              </m:ctrlPr>
            </m:funcPr>
            <m:fName>
              <m:r>
                <m:rPr>
                  <m:sty m:val="p"/>
                </m:rPr>
                <w:rPr>
                  <w:rStyle w:val="texhtml"/>
                  <w:rFonts w:ascii="Cambria Math" w:hAnsi="Cambria Math" w:cs="Cambria Math"/>
                </w:rPr>
                <m:t>ln</m:t>
              </m:r>
            </m:fName>
            <m:e>
              <m:d>
                <m:dPr>
                  <m:ctrlPr>
                    <w:rPr>
                      <w:rStyle w:val="texhtml"/>
                      <w:rFonts w:ascii="Cambria Math" w:hAnsi="Cambria Math" w:cs="Cambria Math"/>
                      <w:i/>
                    </w:rPr>
                  </m:ctrlPr>
                </m:dPr>
                <m:e>
                  <m:f>
                    <m:fPr>
                      <m:type m:val="lin"/>
                      <m:ctrlPr>
                        <w:rPr>
                          <w:rStyle w:val="texhtml"/>
                          <w:rFonts w:ascii="Cambria Math" w:hAnsi="Cambria Math" w:cs="Cambria Math"/>
                          <w:i/>
                        </w:rPr>
                      </m:ctrlPr>
                    </m:fPr>
                    <m:num>
                      <m:sSub>
                        <m:sSubPr>
                          <m:ctrlPr>
                            <w:rPr>
                              <w:rStyle w:val="texhtml"/>
                              <w:rFonts w:ascii="Cambria Math" w:hAnsi="Cambria Math" w:cs="Cambria Math"/>
                              <w:i/>
                            </w:rPr>
                          </m:ctrlPr>
                        </m:sSubPr>
                        <m:e>
                          <m:r>
                            <w:rPr>
                              <w:rStyle w:val="texhtml"/>
                              <w:rFonts w:ascii="Cambria Math" w:hAnsi="Cambria Math" w:cs="Cambria Math"/>
                            </w:rPr>
                            <m:t>Q</m:t>
                          </m:r>
                        </m:e>
                        <m:sub>
                          <m:r>
                            <w:rPr>
                              <w:rStyle w:val="texhtml"/>
                              <w:rFonts w:ascii="Cambria Math" w:hAnsi="Cambria Math" w:cs="Cambria Math"/>
                            </w:rPr>
                            <m:t>T</m:t>
                          </m:r>
                        </m:sub>
                      </m:sSub>
                    </m:num>
                    <m:den>
                      <m:r>
                        <w:rPr>
                          <w:rStyle w:val="texhtml"/>
                          <w:rFonts w:ascii="Cambria Math" w:hAnsi="Cambria Math" w:cs="Cambria Math"/>
                        </w:rPr>
                        <m:t>L</m:t>
                      </m:r>
                    </m:den>
                  </m:f>
                </m:e>
              </m:d>
            </m:e>
          </m:func>
          <m:r>
            <w:rPr>
              <w:rStyle w:val="texhtml"/>
              <w:rFonts w:ascii="Cambria Math" w:hAnsi="Cambria Math" w:cs="Cambria Math"/>
            </w:rPr>
            <m:t>+0.0007</m:t>
          </m:r>
        </m:oMath>
      </m:oMathPara>
    </w:p>
    <w:p w:rsidR="00281E76" w:rsidRDefault="00281E76" w:rsidP="00281E76">
      <w:pPr>
        <w:pStyle w:val="Els-body-text"/>
        <w:spacing w:line="276" w:lineRule="auto"/>
        <w:ind w:firstLine="706"/>
      </w:pPr>
    </w:p>
    <w:p w:rsidR="002A217A" w:rsidRPr="0018174A" w:rsidRDefault="002A217A" w:rsidP="00281E76">
      <w:pPr>
        <w:pStyle w:val="Els-body-text"/>
        <w:spacing w:line="276" w:lineRule="auto"/>
        <w:ind w:firstLine="706"/>
        <w:rPr>
          <w:i/>
          <w:iCs/>
        </w:rPr>
      </w:pPr>
      <w:r>
        <w:rPr>
          <w:i/>
          <w:iCs/>
        </w:rPr>
        <w:t>A</w:t>
      </w:r>
      <w:r>
        <w:rPr>
          <w:i/>
          <w:iCs/>
        </w:rPr>
        <w:tab/>
      </w:r>
      <w:r>
        <w:rPr>
          <w:i/>
          <w:iCs/>
        </w:rPr>
        <w:tab/>
      </w:r>
      <w:r w:rsidRPr="0018174A">
        <w:rPr>
          <w:lang w:val="en-GB"/>
        </w:rPr>
        <w:t>Land area</w:t>
      </w:r>
      <w:r w:rsidR="0018174A">
        <w:rPr>
          <w:lang w:val="en-GB"/>
        </w:rPr>
        <w:t xml:space="preserve"> [m</w:t>
      </w:r>
      <w:r w:rsidR="0018174A" w:rsidRPr="0018174A">
        <w:rPr>
          <w:vertAlign w:val="superscript"/>
          <w:lang w:val="en-GB"/>
        </w:rPr>
        <w:t>2</w:t>
      </w:r>
      <w:r w:rsidR="0018174A">
        <w:rPr>
          <w:lang w:val="en-GB"/>
        </w:rPr>
        <w:t>]</w:t>
      </w:r>
    </w:p>
    <w:p w:rsidR="002A217A" w:rsidRDefault="002A217A" w:rsidP="00281E76">
      <w:pPr>
        <w:pStyle w:val="Els-body-text"/>
        <w:spacing w:line="276" w:lineRule="auto"/>
        <w:ind w:firstLine="706"/>
        <w:rPr>
          <w:i/>
          <w:iCs/>
        </w:rPr>
      </w:pPr>
      <w:r>
        <w:rPr>
          <w:i/>
          <w:iCs/>
        </w:rPr>
        <w:t>W</w:t>
      </w:r>
      <w:r>
        <w:rPr>
          <w:i/>
          <w:iCs/>
        </w:rPr>
        <w:tab/>
      </w:r>
      <w:r>
        <w:rPr>
          <w:i/>
          <w:iCs/>
        </w:rPr>
        <w:tab/>
      </w:r>
      <w:r w:rsidRPr="0018174A">
        <w:rPr>
          <w:lang w:val="en-GB"/>
        </w:rPr>
        <w:t>Effective width</w:t>
      </w:r>
      <w:r w:rsidR="0018174A">
        <w:rPr>
          <w:lang w:val="en-GB"/>
        </w:rPr>
        <w:t xml:space="preserve"> [m]</w:t>
      </w:r>
    </w:p>
    <w:p w:rsidR="002A217A" w:rsidRDefault="002A217A" w:rsidP="00281E76">
      <w:pPr>
        <w:pStyle w:val="Els-body-text"/>
        <w:spacing w:line="276" w:lineRule="auto"/>
        <w:ind w:firstLine="706"/>
        <w:rPr>
          <w:i/>
          <w:iCs/>
        </w:rPr>
      </w:pPr>
      <w:r>
        <w:rPr>
          <w:i/>
          <w:iCs/>
        </w:rPr>
        <w:t>e</w:t>
      </w:r>
      <w:r>
        <w:rPr>
          <w:i/>
          <w:iCs/>
        </w:rPr>
        <w:tab/>
      </w:r>
      <w:r>
        <w:rPr>
          <w:i/>
          <w:iCs/>
        </w:rPr>
        <w:tab/>
      </w:r>
      <w:r w:rsidRPr="002A217A">
        <w:rPr>
          <w:lang w:val="en-GB"/>
        </w:rPr>
        <w:t>Plot ratio</w:t>
      </w:r>
      <w:r w:rsidR="0018174A">
        <w:rPr>
          <w:lang w:val="en-GB"/>
        </w:rPr>
        <w:t xml:space="preserve"> [-]</w:t>
      </w:r>
    </w:p>
    <w:p w:rsidR="00281E76" w:rsidRPr="003E5B94" w:rsidRDefault="00281E76" w:rsidP="00281E76">
      <w:pPr>
        <w:pStyle w:val="Els-body-text"/>
        <w:spacing w:line="276" w:lineRule="auto"/>
        <w:ind w:firstLine="706"/>
      </w:pPr>
      <w:proofErr w:type="spellStart"/>
      <w:r>
        <w:rPr>
          <w:i/>
          <w:iCs/>
        </w:rPr>
        <w:t>Inv</w:t>
      </w:r>
      <w:r w:rsidRPr="003E5B94">
        <w:rPr>
          <w:i/>
          <w:iCs/>
          <w:vertAlign w:val="subscript"/>
        </w:rPr>
        <w:t>T</w:t>
      </w:r>
      <w:proofErr w:type="spellEnd"/>
      <w:r>
        <w:rPr>
          <w:i/>
          <w:iCs/>
        </w:rPr>
        <w:tab/>
      </w:r>
      <w:r>
        <w:rPr>
          <w:i/>
          <w:iCs/>
        </w:rPr>
        <w:tab/>
      </w:r>
      <w:r w:rsidRPr="003E5B94">
        <w:rPr>
          <w:lang w:val="en-GB"/>
        </w:rPr>
        <w:t xml:space="preserve">Annualized </w:t>
      </w:r>
      <w:r>
        <w:rPr>
          <w:lang w:val="en-GB"/>
        </w:rPr>
        <w:t>distribution grid</w:t>
      </w:r>
      <w:r w:rsidRPr="003E5B94">
        <w:rPr>
          <w:lang w:val="en-GB"/>
        </w:rPr>
        <w:t xml:space="preserve"> </w:t>
      </w:r>
      <w:r>
        <w:rPr>
          <w:lang w:val="en-GB"/>
        </w:rPr>
        <w:t>cost</w:t>
      </w:r>
      <w:r w:rsidRPr="003E5B94">
        <w:rPr>
          <w:lang w:val="en-GB"/>
        </w:rPr>
        <w:t xml:space="preserve"> per unit of delivered heat</w:t>
      </w:r>
      <w:r>
        <w:rPr>
          <w:lang w:val="en-GB"/>
        </w:rPr>
        <w:t xml:space="preserve"> [</w:t>
      </w:r>
      <w:r w:rsidRPr="003E5B94">
        <w:t>€/</w:t>
      </w:r>
      <w:r>
        <w:t>GJ]</w:t>
      </w:r>
    </w:p>
    <w:p w:rsidR="00281E76" w:rsidRDefault="00281E76" w:rsidP="00281E76">
      <w:pPr>
        <w:pStyle w:val="Els-body-text"/>
        <w:spacing w:line="276" w:lineRule="auto"/>
        <w:ind w:firstLine="706"/>
      </w:pPr>
      <w:r w:rsidRPr="00921003">
        <w:rPr>
          <w:i/>
          <w:iCs/>
        </w:rPr>
        <w:t>L</w:t>
      </w:r>
      <w:r w:rsidRPr="00921003">
        <w:tab/>
      </w:r>
      <w:r w:rsidRPr="00921003">
        <w:tab/>
        <w:t>Total trench length [m]</w:t>
      </w:r>
    </w:p>
    <w:p w:rsidR="00281E76" w:rsidRDefault="00281E76" w:rsidP="00281E76">
      <w:pPr>
        <w:pStyle w:val="Els-body-text"/>
        <w:spacing w:line="276" w:lineRule="auto"/>
        <w:ind w:firstLine="706"/>
        <w:rPr>
          <w:i/>
          <w:iCs/>
        </w:rPr>
      </w:pPr>
      <w:r w:rsidRPr="00AE7A4F">
        <w:rPr>
          <w:i/>
          <w:iCs/>
        </w:rPr>
        <w:t>C</w:t>
      </w:r>
      <w:proofErr w:type="gramStart"/>
      <w:r w:rsidRPr="00AE7A4F">
        <w:rPr>
          <w:i/>
          <w:iCs/>
          <w:vertAlign w:val="subscript"/>
        </w:rPr>
        <w:t>1,T</w:t>
      </w:r>
      <w:proofErr w:type="gramEnd"/>
      <w:r w:rsidRPr="00AE7A4F">
        <w:rPr>
          <w:i/>
          <w:iCs/>
        </w:rPr>
        <w:t xml:space="preserve"> </w:t>
      </w:r>
      <w:r>
        <w:rPr>
          <w:i/>
          <w:iCs/>
        </w:rPr>
        <w:tab/>
      </w:r>
      <w:r>
        <w:rPr>
          <w:i/>
          <w:iCs/>
        </w:rPr>
        <w:tab/>
      </w:r>
      <w:r w:rsidRPr="00AE7A4F">
        <w:t>Construction cost constant [€/m]</w:t>
      </w:r>
    </w:p>
    <w:p w:rsidR="00281E76" w:rsidRDefault="00281E76" w:rsidP="00281E76">
      <w:pPr>
        <w:pStyle w:val="Els-body-text"/>
        <w:spacing w:line="276" w:lineRule="auto"/>
        <w:ind w:firstLine="706"/>
      </w:pPr>
      <w:r w:rsidRPr="00AE7A4F">
        <w:rPr>
          <w:i/>
          <w:iCs/>
        </w:rPr>
        <w:t>C</w:t>
      </w:r>
      <w:proofErr w:type="gramStart"/>
      <w:r w:rsidRPr="00AE7A4F">
        <w:rPr>
          <w:i/>
          <w:iCs/>
          <w:vertAlign w:val="subscript"/>
        </w:rPr>
        <w:t>2,T</w:t>
      </w:r>
      <w:proofErr w:type="gramEnd"/>
      <w:r w:rsidRPr="00AE7A4F">
        <w:tab/>
      </w:r>
      <w:r w:rsidRPr="00AE7A4F">
        <w:tab/>
        <w:t>Construction cost coefficient [€/m</w:t>
      </w:r>
      <w:r w:rsidRPr="00152460">
        <w:rPr>
          <w:vertAlign w:val="superscript"/>
        </w:rPr>
        <w:t>2</w:t>
      </w:r>
      <w:r w:rsidRPr="00AE7A4F">
        <w:t>]</w:t>
      </w:r>
    </w:p>
    <w:p w:rsidR="00281E76" w:rsidRDefault="00281E76" w:rsidP="00281E76">
      <w:pPr>
        <w:pStyle w:val="Els-body-text"/>
        <w:spacing w:line="276" w:lineRule="auto"/>
        <w:ind w:firstLine="706"/>
      </w:pPr>
      <w:r w:rsidRPr="00921003">
        <w:rPr>
          <w:i/>
          <w:iCs/>
        </w:rPr>
        <w:t>d</w:t>
      </w:r>
      <w:r w:rsidRPr="00921003">
        <w:rPr>
          <w:i/>
          <w:iCs/>
          <w:vertAlign w:val="subscript"/>
        </w:rPr>
        <w:t>a</w:t>
      </w:r>
      <w:r w:rsidRPr="00921003">
        <w:tab/>
      </w:r>
      <w:r w:rsidRPr="00921003">
        <w:tab/>
        <w:t>Pipe diameter [m]</w:t>
      </w:r>
    </w:p>
    <w:p w:rsidR="00281E76" w:rsidRDefault="00281E76" w:rsidP="00281E76">
      <w:pPr>
        <w:pStyle w:val="Els-body-text"/>
        <w:spacing w:line="276" w:lineRule="auto"/>
        <w:ind w:firstLine="706"/>
      </w:pPr>
      <w:r>
        <w:rPr>
          <w:i/>
          <w:iCs/>
        </w:rPr>
        <w:t>n</w:t>
      </w:r>
      <w:r>
        <w:rPr>
          <w:i/>
          <w:iCs/>
        </w:rPr>
        <w:tab/>
      </w:r>
      <w:r>
        <w:rPr>
          <w:i/>
          <w:iCs/>
        </w:rPr>
        <w:tab/>
      </w:r>
      <w:r>
        <w:t>Depreciation time</w:t>
      </w:r>
    </w:p>
    <w:p w:rsidR="00281E76" w:rsidRDefault="00281E76" w:rsidP="00281E76">
      <w:pPr>
        <w:pStyle w:val="Els-body-text"/>
        <w:spacing w:line="276" w:lineRule="auto"/>
        <w:ind w:firstLine="706"/>
      </w:pPr>
      <w:r w:rsidRPr="00921003">
        <w:rPr>
          <w:i/>
          <w:iCs/>
        </w:rPr>
        <w:t>Q</w:t>
      </w:r>
      <w:r w:rsidRPr="00921003">
        <w:rPr>
          <w:i/>
          <w:iCs/>
          <w:vertAlign w:val="subscript"/>
        </w:rPr>
        <w:t>T</w:t>
      </w:r>
      <w:r w:rsidRPr="00921003">
        <w:tab/>
      </w:r>
      <w:r w:rsidRPr="00921003">
        <w:tab/>
        <w:t>Heat demand supplied by DH in year “</w:t>
      </w:r>
      <w:r>
        <w:t>T</w:t>
      </w:r>
      <w:r w:rsidRPr="00921003">
        <w:t>”</w:t>
      </w:r>
      <w:r>
        <w:t xml:space="preserve"> [GJ]</w:t>
      </w:r>
    </w:p>
    <w:p w:rsidR="00281E76" w:rsidRPr="00921003" w:rsidRDefault="00281E76" w:rsidP="00281E76">
      <w:pPr>
        <w:pStyle w:val="Els-body-text"/>
        <w:spacing w:line="276" w:lineRule="auto"/>
        <w:ind w:firstLine="706"/>
      </w:pPr>
      <w:r w:rsidRPr="00921003">
        <w:rPr>
          <w:i/>
          <w:iCs/>
        </w:rPr>
        <w:t>r</w:t>
      </w:r>
      <w:r>
        <w:rPr>
          <w:i/>
          <w:iCs/>
        </w:rPr>
        <w:tab/>
      </w:r>
      <w:r>
        <w:rPr>
          <w:i/>
          <w:iCs/>
        </w:rPr>
        <w:tab/>
      </w:r>
      <w:r>
        <w:t>Interest rate</w:t>
      </w:r>
    </w:p>
    <w:p w:rsidR="00281E76" w:rsidRPr="002902CA" w:rsidRDefault="00281E76" w:rsidP="00227125">
      <w:pPr>
        <w:rPr>
          <w:lang w:val="en-US"/>
        </w:rPr>
      </w:pPr>
    </w:p>
    <w:p w:rsidR="00281E76" w:rsidRPr="002902CA" w:rsidRDefault="00281E76" w:rsidP="00227125">
      <w:pPr>
        <w:rPr>
          <w:lang w:val="en-US"/>
        </w:rPr>
      </w:pPr>
    </w:p>
    <w:p w:rsidR="00281E76" w:rsidRPr="002902CA" w:rsidRDefault="00281E76" w:rsidP="00227125">
      <w:pPr>
        <w:rPr>
          <w:lang w:val="en-US"/>
        </w:rPr>
      </w:pPr>
    </w:p>
    <w:p w:rsidR="008D69A7" w:rsidRDefault="008D69A7" w:rsidP="00227125">
      <w:pPr>
        <w:rPr>
          <w:lang w:val="en-US"/>
        </w:rPr>
      </w:pPr>
      <w:r w:rsidRPr="008D69A7">
        <w:rPr>
          <w:lang w:val="en-US"/>
        </w:rPr>
        <w:t>To apply this method uniformly to the whole country, uniform data on heat demand densities and gross floor area densities are required.</w:t>
      </w:r>
      <w:r w:rsidR="0018174A">
        <w:rPr>
          <w:lang w:val="en-US"/>
        </w:rPr>
        <w:t xml:space="preserve"> These data are obtained from Hotmaps open source data set [2].</w:t>
      </w:r>
    </w:p>
    <w:p w:rsidR="00B17D27" w:rsidRDefault="00B17D27" w:rsidP="00227125">
      <w:pPr>
        <w:rPr>
          <w:lang w:val="en-US"/>
        </w:rPr>
      </w:pPr>
      <w:r>
        <w:rPr>
          <w:lang w:val="en-US"/>
        </w:rPr>
        <w:t xml:space="preserve">The construction cost constant and construction cost coefficient are different for different countries. The values can be obtained from the H2020 project </w:t>
      </w:r>
      <w:proofErr w:type="spellStart"/>
      <w:r w:rsidRPr="00B17D27">
        <w:rPr>
          <w:lang w:val="en-US"/>
        </w:rPr>
        <w:t>sEEnergies</w:t>
      </w:r>
      <w:proofErr w:type="spellEnd"/>
      <w:r w:rsidR="00BA79D3">
        <w:rPr>
          <w:lang w:val="en-US"/>
        </w:rPr>
        <w:t xml:space="preserve"> [</w:t>
      </w:r>
      <w:r w:rsidR="0018174A">
        <w:rPr>
          <w:lang w:val="en-US"/>
        </w:rPr>
        <w:t>3</w:t>
      </w:r>
      <w:r w:rsidR="00BA79D3">
        <w:rPr>
          <w:lang w:val="en-US"/>
        </w:rPr>
        <w:t>]</w:t>
      </w:r>
      <w:r>
        <w:rPr>
          <w:lang w:val="en-US"/>
        </w:rPr>
        <w:t>. Service pipes are referred to the pipes that connect the DH distribution grid to the buildings. Inclusion of service pipes in the overall costs provides a realistic picture of the total investment.</w:t>
      </w:r>
    </w:p>
    <w:p w:rsidR="00904EE6" w:rsidRDefault="008D69A7" w:rsidP="00227125">
      <w:pPr>
        <w:rPr>
          <w:lang w:val="en-US"/>
        </w:rPr>
      </w:pPr>
      <w:r>
        <w:rPr>
          <w:lang w:val="en-US"/>
        </w:rPr>
        <w:t>The market share will increase gradually until the end of the investment period. Without re-investment in the grid and by reaching the end of the lifetime of pipes, the market share will reduce. In order to maintain the market share, re-investment in the grid is crucial.</w:t>
      </w:r>
    </w:p>
    <w:p w:rsidR="00281E76" w:rsidRPr="008D69A7" w:rsidRDefault="00281E76" w:rsidP="00227125">
      <w:pPr>
        <w:rPr>
          <w:lang w:val="en-US"/>
        </w:rPr>
      </w:pPr>
    </w:p>
    <w:p w:rsidR="00904EE6" w:rsidRPr="008D69A7" w:rsidRDefault="00904EE6" w:rsidP="00227125">
      <w:pPr>
        <w:rPr>
          <w:lang w:val="en-US"/>
        </w:rPr>
      </w:pPr>
    </w:p>
    <w:p w:rsidR="00904EE6" w:rsidRPr="008D69A7" w:rsidRDefault="00904EE6" w:rsidP="00904EE6">
      <w:pPr>
        <w:rPr>
          <w:lang w:val="en-US"/>
        </w:rPr>
      </w:pPr>
    </w:p>
    <w:p w:rsidR="00512A2D" w:rsidRDefault="00512A2D" w:rsidP="00281E76">
      <w:pPr>
        <w:jc w:val="center"/>
      </w:pPr>
      <w:r>
        <w:rPr>
          <w:noProof/>
        </w:rPr>
        <w:drawing>
          <wp:inline distT="0" distB="0" distL="0" distR="0" wp14:anchorId="60259A1B" wp14:editId="1D95F133">
            <wp:extent cx="3832024" cy="2140648"/>
            <wp:effectExtent l="0" t="0" r="16510" b="12065"/>
            <wp:docPr id="4" name="Chart 4">
              <a:extLst xmlns:a="http://schemas.openxmlformats.org/drawingml/2006/main">
                <a:ext uri="{FF2B5EF4-FFF2-40B4-BE49-F238E27FC236}">
                  <a16:creationId xmlns:a16="http://schemas.microsoft.com/office/drawing/2014/main" id="{0B01C977-F77B-4CA7-953A-A92CB4237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2A0B" w:rsidRPr="00952A0B" w:rsidRDefault="00952A0B" w:rsidP="00952A0B">
      <w:pPr>
        <w:pStyle w:val="Abbildungsbeschriftung"/>
        <w:jc w:val="center"/>
        <w:rPr>
          <w:lang w:val="en-US"/>
        </w:rPr>
      </w:pPr>
      <w:r w:rsidRPr="00952A0B">
        <w:rPr>
          <w:lang w:val="en-US"/>
        </w:rPr>
        <w:t>Figure 1: development of the m</w:t>
      </w:r>
      <w:r>
        <w:rPr>
          <w:lang w:val="en-US"/>
        </w:rPr>
        <w:t>arket share with and without re-investment in the grid.</w:t>
      </w:r>
    </w:p>
    <w:p w:rsidR="00904EE6" w:rsidRPr="00952A0B" w:rsidRDefault="00904EE6" w:rsidP="00227125">
      <w:pPr>
        <w:rPr>
          <w:lang w:val="en-US"/>
        </w:rPr>
      </w:pPr>
    </w:p>
    <w:p w:rsidR="00904EE6" w:rsidRPr="00952A0B" w:rsidRDefault="00904EE6" w:rsidP="00904EE6">
      <w:pPr>
        <w:rPr>
          <w:lang w:val="en-US"/>
        </w:rPr>
      </w:pPr>
    </w:p>
    <w:p w:rsidR="005E4D4F" w:rsidRPr="00907FD7" w:rsidRDefault="00BA79D3" w:rsidP="005E4D4F">
      <w:pPr>
        <w:pStyle w:val="Ueberschrift"/>
        <w:rPr>
          <w:lang w:val="en-US"/>
        </w:rPr>
      </w:pPr>
      <w:r w:rsidRPr="00907FD7">
        <w:rPr>
          <w:lang w:val="en-US"/>
        </w:rPr>
        <w:t>Results</w:t>
      </w:r>
    </w:p>
    <w:p w:rsidR="00BA79D3" w:rsidRPr="00907FD7" w:rsidRDefault="006B4F44" w:rsidP="00227125">
      <w:pPr>
        <w:rPr>
          <w:lang w:val="en-US"/>
        </w:rPr>
      </w:pPr>
      <w:r w:rsidRPr="00907FD7">
        <w:rPr>
          <w:noProof/>
        </w:rPr>
        <w:drawing>
          <wp:anchor distT="0" distB="0" distL="114300" distR="114300" simplePos="0" relativeHeight="251658240" behindDoc="0" locked="0" layoutInCell="1" allowOverlap="1" wp14:anchorId="7FC28281">
            <wp:simplePos x="0" y="0"/>
            <wp:positionH relativeFrom="column">
              <wp:posOffset>1301750</wp:posOffset>
            </wp:positionH>
            <wp:positionV relativeFrom="paragraph">
              <wp:posOffset>685800</wp:posOffset>
            </wp:positionV>
            <wp:extent cx="2728595" cy="1772920"/>
            <wp:effectExtent l="133350" t="114300" r="147955" b="170180"/>
            <wp:wrapTopAndBottom/>
            <wp:docPr id="6" name="Picture 5">
              <a:extLst xmlns:a="http://schemas.openxmlformats.org/drawingml/2006/main">
                <a:ext uri="{FF2B5EF4-FFF2-40B4-BE49-F238E27FC236}">
                  <a16:creationId xmlns:a16="http://schemas.microsoft.com/office/drawing/2014/main" id="{4F55B599-F1A8-4A6B-9FB6-310F3A453C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F55B599-F1A8-4A6B-9FB6-310F3A453CF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8595" cy="17729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907FD7" w:rsidRPr="00907FD7">
        <w:rPr>
          <w:lang w:val="en-US"/>
        </w:rPr>
        <w:t xml:space="preserve">Using </w:t>
      </w:r>
      <w:proofErr w:type="spellStart"/>
      <w:r w:rsidR="00907FD7">
        <w:rPr>
          <w:lang w:val="en-US"/>
        </w:rPr>
        <w:t>DHexpPot</w:t>
      </w:r>
      <w:proofErr w:type="spellEnd"/>
      <w:r w:rsidR="00907FD7">
        <w:rPr>
          <w:lang w:val="en-US"/>
        </w:rPr>
        <w:t xml:space="preserve"> it is possible to perform sensitivity analyses on different parameters of DH grid system and study their impact on the DH potential and grid costs. The outputs are shown in form of potential maps as well as charts showing the results of the sensitivity analyses. </w:t>
      </w:r>
    </w:p>
    <w:p w:rsidR="006B4F44" w:rsidRPr="00952A0B" w:rsidRDefault="006B4F44" w:rsidP="006B4F44">
      <w:pPr>
        <w:pStyle w:val="Abbildungsbeschriftung"/>
        <w:jc w:val="center"/>
        <w:rPr>
          <w:lang w:val="en-US"/>
        </w:rPr>
      </w:pPr>
      <w:r w:rsidRPr="00952A0B">
        <w:rPr>
          <w:lang w:val="en-US"/>
        </w:rPr>
        <w:t xml:space="preserve">Figure </w:t>
      </w:r>
      <w:r>
        <w:rPr>
          <w:lang w:val="en-US"/>
        </w:rPr>
        <w:t>2</w:t>
      </w:r>
      <w:r w:rsidRPr="00952A0B">
        <w:rPr>
          <w:lang w:val="en-US"/>
        </w:rPr>
        <w:t xml:space="preserve">: </w:t>
      </w:r>
      <w:r>
        <w:rPr>
          <w:lang w:val="en-US"/>
        </w:rPr>
        <w:t>Potential DH areas in Austria under a given scenario</w:t>
      </w:r>
      <w:bookmarkStart w:id="0" w:name="_GoBack"/>
      <w:bookmarkEnd w:id="0"/>
      <w:r>
        <w:rPr>
          <w:lang w:val="en-US"/>
        </w:rPr>
        <w:t>.</w:t>
      </w:r>
    </w:p>
    <w:p w:rsidR="00BA79D3" w:rsidRPr="00907FD7" w:rsidRDefault="00BA79D3" w:rsidP="00227125">
      <w:pPr>
        <w:rPr>
          <w:lang w:val="en-US"/>
        </w:rPr>
      </w:pPr>
    </w:p>
    <w:p w:rsidR="00BA79D3" w:rsidRPr="00907FD7" w:rsidRDefault="00907FD7" w:rsidP="006B4F44">
      <w:pPr>
        <w:rPr>
          <w:lang w:val="en-US"/>
        </w:rPr>
      </w:pPr>
      <w:r w:rsidRPr="00907FD7">
        <w:rPr>
          <w:lang w:val="en-US"/>
        </w:rPr>
        <w:t xml:space="preserve"> </w:t>
      </w:r>
    </w:p>
    <w:p w:rsidR="005E4D4F" w:rsidRPr="00BA79D3" w:rsidRDefault="005E4D4F" w:rsidP="00A156E4">
      <w:pPr>
        <w:pStyle w:val="Ueberschrift"/>
        <w:rPr>
          <w:lang w:val="en-US"/>
        </w:rPr>
      </w:pPr>
      <w:bookmarkStart w:id="1" w:name="_Toc26086066"/>
      <w:bookmarkStart w:id="2" w:name="_Toc68418491"/>
      <w:proofErr w:type="spellStart"/>
      <w:r w:rsidRPr="00BA79D3">
        <w:rPr>
          <w:lang w:val="en-US"/>
        </w:rPr>
        <w:t>Literatur</w:t>
      </w:r>
      <w:bookmarkEnd w:id="1"/>
      <w:bookmarkEnd w:id="2"/>
      <w:proofErr w:type="spellEnd"/>
    </w:p>
    <w:p w:rsidR="005E4D4F" w:rsidRDefault="00483B87" w:rsidP="00227125">
      <w:pPr>
        <w:pStyle w:val="Literatur"/>
        <w:rPr>
          <w:lang w:val="en-US"/>
        </w:rPr>
      </w:pPr>
      <w:r w:rsidRPr="00BA79D3">
        <w:rPr>
          <w:lang w:val="en-US"/>
        </w:rPr>
        <w:t>[1]</w:t>
      </w:r>
      <w:r w:rsidRPr="00BA79D3">
        <w:rPr>
          <w:lang w:val="en-US"/>
        </w:rPr>
        <w:tab/>
      </w:r>
      <w:r w:rsidR="00BA79D3" w:rsidRPr="00BA79D3">
        <w:rPr>
          <w:lang w:val="en-US"/>
        </w:rPr>
        <w:t xml:space="preserve">H2020 project EnerMaps, </w:t>
      </w:r>
      <w:hyperlink r:id="rId11" w:history="1">
        <w:r w:rsidR="0018174A" w:rsidRPr="004F2205">
          <w:rPr>
            <w:rStyle w:val="Hyperlink"/>
            <w:lang w:val="en-US"/>
          </w:rPr>
          <w:t>https://www.enermaps.eu/</w:t>
        </w:r>
      </w:hyperlink>
    </w:p>
    <w:p w:rsidR="0018174A" w:rsidRDefault="0018174A" w:rsidP="0018174A">
      <w:pPr>
        <w:pStyle w:val="Literatur"/>
        <w:rPr>
          <w:lang w:val="en-US"/>
        </w:rPr>
      </w:pPr>
      <w:r w:rsidRPr="00BA79D3">
        <w:rPr>
          <w:lang w:val="en-US"/>
        </w:rPr>
        <w:t>[</w:t>
      </w:r>
      <w:r>
        <w:rPr>
          <w:lang w:val="en-US"/>
        </w:rPr>
        <w:t>2</w:t>
      </w:r>
      <w:r w:rsidRPr="00BA79D3">
        <w:rPr>
          <w:lang w:val="en-US"/>
        </w:rPr>
        <w:t>]</w:t>
      </w:r>
      <w:r w:rsidRPr="00BA79D3">
        <w:rPr>
          <w:lang w:val="en-US"/>
        </w:rPr>
        <w:tab/>
        <w:t xml:space="preserve">H2020 project </w:t>
      </w:r>
      <w:r>
        <w:rPr>
          <w:lang w:val="en-US"/>
        </w:rPr>
        <w:t>Hotmaps</w:t>
      </w:r>
      <w:r w:rsidRPr="00BA79D3">
        <w:rPr>
          <w:lang w:val="en-US"/>
        </w:rPr>
        <w:t xml:space="preserve">, </w:t>
      </w:r>
      <w:hyperlink r:id="rId12" w:history="1">
        <w:r w:rsidRPr="004F2205">
          <w:rPr>
            <w:rStyle w:val="Hyperlink"/>
            <w:lang w:val="en-US"/>
          </w:rPr>
          <w:t>https://www.hotmaps-project.eu/</w:t>
        </w:r>
      </w:hyperlink>
    </w:p>
    <w:p w:rsidR="00010E92" w:rsidRDefault="00483B87" w:rsidP="00227125">
      <w:pPr>
        <w:pStyle w:val="Literatur"/>
        <w:rPr>
          <w:lang w:val="en-US"/>
        </w:rPr>
      </w:pPr>
      <w:r w:rsidRPr="00BA79D3">
        <w:rPr>
          <w:lang w:val="en-US"/>
        </w:rPr>
        <w:t>[</w:t>
      </w:r>
      <w:r w:rsidR="0018174A">
        <w:rPr>
          <w:lang w:val="en-US"/>
        </w:rPr>
        <w:t>3</w:t>
      </w:r>
      <w:r w:rsidRPr="00BA79D3">
        <w:rPr>
          <w:lang w:val="en-US"/>
        </w:rPr>
        <w:t>]</w:t>
      </w:r>
      <w:r w:rsidRPr="00BA79D3">
        <w:rPr>
          <w:lang w:val="en-US"/>
        </w:rPr>
        <w:tab/>
      </w:r>
      <w:r w:rsidR="00BA79D3" w:rsidRPr="00BA79D3">
        <w:rPr>
          <w:lang w:val="en-US"/>
        </w:rPr>
        <w:t xml:space="preserve">H2020 project </w:t>
      </w:r>
      <w:proofErr w:type="spellStart"/>
      <w:r w:rsidR="00BA79D3" w:rsidRPr="00B17D27">
        <w:rPr>
          <w:lang w:val="en-US"/>
        </w:rPr>
        <w:t>sEEnergies</w:t>
      </w:r>
      <w:proofErr w:type="spellEnd"/>
      <w:r w:rsidR="00BA79D3">
        <w:rPr>
          <w:lang w:val="en-US"/>
        </w:rPr>
        <w:t xml:space="preserve">, </w:t>
      </w:r>
      <w:hyperlink r:id="rId13" w:history="1">
        <w:r w:rsidR="0018174A" w:rsidRPr="004F2205">
          <w:rPr>
            <w:rStyle w:val="Hyperlink"/>
            <w:lang w:val="en-US"/>
          </w:rPr>
          <w:t>https://www.seenergies.eu/</w:t>
        </w:r>
      </w:hyperlink>
    </w:p>
    <w:p w:rsidR="005E4D4F" w:rsidRPr="00BA79D3" w:rsidRDefault="005E4D4F" w:rsidP="00227125">
      <w:pPr>
        <w:pStyle w:val="Literatur"/>
        <w:rPr>
          <w:lang w:val="en-US"/>
        </w:rPr>
      </w:pPr>
    </w:p>
    <w:sectPr w:rsidR="005E4D4F" w:rsidRPr="00BA79D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AE9" w:rsidRDefault="000B4AE9">
      <w:r>
        <w:separator/>
      </w:r>
    </w:p>
  </w:endnote>
  <w:endnote w:type="continuationSeparator" w:id="0">
    <w:p w:rsidR="000B4AE9" w:rsidRDefault="000B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AE9" w:rsidRDefault="000B4AE9">
      <w:r>
        <w:separator/>
      </w:r>
    </w:p>
  </w:footnote>
  <w:footnote w:type="continuationSeparator" w:id="0">
    <w:p w:rsidR="000B4AE9" w:rsidRDefault="000B4AE9">
      <w:r>
        <w:continuationSeparator/>
      </w:r>
    </w:p>
  </w:footnote>
  <w:footnote w:id="1">
    <w:p w:rsidR="00D53E86" w:rsidRPr="00FB69AE" w:rsidRDefault="00D53E86" w:rsidP="0084567D">
      <w:r w:rsidRPr="00A115D2">
        <w:rPr>
          <w:rStyle w:val="FootnoteReference"/>
        </w:rPr>
        <w:footnoteRef/>
      </w:r>
      <w:r w:rsidRPr="00D53E86">
        <w:t xml:space="preserve"> </w:t>
      </w:r>
      <w:proofErr w:type="spellStart"/>
      <w:r w:rsidR="00B8009A" w:rsidRPr="00B8009A">
        <w:t>Gusshausstrasse</w:t>
      </w:r>
      <w:proofErr w:type="spellEnd"/>
      <w:r w:rsidR="00B8009A" w:rsidRPr="00B8009A">
        <w:t xml:space="preserve"> 25-29/E370-3</w:t>
      </w:r>
      <w:r w:rsidR="0084567D">
        <w:t>, 1040 Wien</w:t>
      </w:r>
      <w:r w:rsidR="00E520E6">
        <w:t xml:space="preserve">, </w:t>
      </w:r>
      <w:r w:rsidR="0084567D" w:rsidRPr="0084567D">
        <w:t>+43158801370374</w:t>
      </w:r>
      <w:r w:rsidR="00A6148D">
        <w:t>,</w:t>
      </w:r>
      <w:r w:rsidR="00FD5D56">
        <w:t xml:space="preserve"> </w:t>
      </w:r>
      <w:r w:rsidR="0084567D">
        <w:t>fallahnejad@eeg.tuwien.ac.at</w:t>
      </w:r>
      <w:r>
        <w:t xml:space="preserve">, </w:t>
      </w:r>
      <w:r w:rsidR="0084567D" w:rsidRPr="0084567D">
        <w:t>https://eeg.tuwien.ac.at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34B25"/>
    <w:rsid w:val="000B4AE9"/>
    <w:rsid w:val="001145B3"/>
    <w:rsid w:val="0018174A"/>
    <w:rsid w:val="002014D3"/>
    <w:rsid w:val="00227125"/>
    <w:rsid w:val="00262FD5"/>
    <w:rsid w:val="00281E76"/>
    <w:rsid w:val="002902CA"/>
    <w:rsid w:val="002946B8"/>
    <w:rsid w:val="002A217A"/>
    <w:rsid w:val="00350F98"/>
    <w:rsid w:val="00372E07"/>
    <w:rsid w:val="003A2E9E"/>
    <w:rsid w:val="003B676F"/>
    <w:rsid w:val="003C28FE"/>
    <w:rsid w:val="00483B87"/>
    <w:rsid w:val="00512A2D"/>
    <w:rsid w:val="005B1ADB"/>
    <w:rsid w:val="005E4D4F"/>
    <w:rsid w:val="00662525"/>
    <w:rsid w:val="006B4F44"/>
    <w:rsid w:val="007378C8"/>
    <w:rsid w:val="00741EC0"/>
    <w:rsid w:val="00803917"/>
    <w:rsid w:val="0084567D"/>
    <w:rsid w:val="008D69A7"/>
    <w:rsid w:val="00904EE6"/>
    <w:rsid w:val="00907FD7"/>
    <w:rsid w:val="00952A0B"/>
    <w:rsid w:val="009A622E"/>
    <w:rsid w:val="00A07737"/>
    <w:rsid w:val="00A156E4"/>
    <w:rsid w:val="00A6148D"/>
    <w:rsid w:val="00AF44B1"/>
    <w:rsid w:val="00B17D27"/>
    <w:rsid w:val="00B56014"/>
    <w:rsid w:val="00B8009A"/>
    <w:rsid w:val="00BA3EE4"/>
    <w:rsid w:val="00BA79D3"/>
    <w:rsid w:val="00BF05FA"/>
    <w:rsid w:val="00C75E32"/>
    <w:rsid w:val="00CE1A70"/>
    <w:rsid w:val="00D055BA"/>
    <w:rsid w:val="00D53E86"/>
    <w:rsid w:val="00D736F8"/>
    <w:rsid w:val="00E520E6"/>
    <w:rsid w:val="00E52D87"/>
    <w:rsid w:val="00EA71E4"/>
    <w:rsid w:val="00F54234"/>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47CE9"/>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125"/>
    <w:pPr>
      <w:jc w:val="both"/>
    </w:pPr>
    <w:rPr>
      <w:rFonts w:ascii="Arial" w:hAnsi="Arial"/>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le">
    <w:name w:val="Title"/>
    <w:basedOn w:val="Normal"/>
    <w:link w:val="TitleChar"/>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NoList"/>
    <w:rsid w:val="00227125"/>
    <w:pPr>
      <w:numPr>
        <w:numId w:val="2"/>
      </w:numPr>
    </w:pPr>
  </w:style>
  <w:style w:type="paragraph" w:customStyle="1" w:styleId="Abbildungsbeschriftung">
    <w:name w:val="Abbildungsbeschriftung"/>
    <w:basedOn w:val="Normal"/>
    <w:rsid w:val="002946B8"/>
    <w:rPr>
      <w:i/>
      <w:iCs/>
    </w:rPr>
  </w:style>
  <w:style w:type="character" w:customStyle="1" w:styleId="TitleChar">
    <w:name w:val="Title Char"/>
    <w:link w:val="Title"/>
    <w:rsid w:val="005E4D4F"/>
    <w:rPr>
      <w:rFonts w:ascii="Arial" w:hAnsi="Arial"/>
      <w:b/>
      <w:snapToGrid w:val="0"/>
      <w:kern w:val="28"/>
      <w:sz w:val="32"/>
      <w:lang w:val="de-DE" w:eastAsia="en-US" w:bidi="ar-SA"/>
    </w:rPr>
  </w:style>
  <w:style w:type="paragraph" w:customStyle="1" w:styleId="Ueberschrift">
    <w:name w:val="Ueberschrift"/>
    <w:basedOn w:val="Normal"/>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le"/>
    <w:rsid w:val="005E4D4F"/>
    <w:rPr>
      <w:rFonts w:cs="Arial"/>
    </w:rPr>
  </w:style>
  <w:style w:type="paragraph" w:customStyle="1" w:styleId="AutorenOrganisation">
    <w:name w:val="Autoren &amp; Organisation"/>
    <w:basedOn w:val="Normal"/>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Normal"/>
    <w:rsid w:val="005E4D4F"/>
    <w:pPr>
      <w:ind w:left="284" w:hanging="284"/>
    </w:pPr>
    <w:rPr>
      <w:rFonts w:cs="Arial"/>
      <w:szCs w:val="20"/>
      <w:lang w:eastAsia="de-DE"/>
    </w:rPr>
  </w:style>
  <w:style w:type="character" w:styleId="Hyperlink">
    <w:name w:val="Hyperlink"/>
    <w:basedOn w:val="DefaultParagraphFont"/>
    <w:uiPriority w:val="99"/>
    <w:unhideWhenUsed/>
    <w:rsid w:val="001145B3"/>
    <w:rPr>
      <w:color w:val="0563C1" w:themeColor="hyperlink"/>
      <w:u w:val="single"/>
    </w:rPr>
  </w:style>
  <w:style w:type="character" w:styleId="UnresolvedMention">
    <w:name w:val="Unresolved Mention"/>
    <w:basedOn w:val="DefaultParagraphFont"/>
    <w:uiPriority w:val="99"/>
    <w:semiHidden/>
    <w:unhideWhenUsed/>
    <w:rsid w:val="001145B3"/>
    <w:rPr>
      <w:color w:val="605E5C"/>
      <w:shd w:val="clear" w:color="auto" w:fill="E1DFDD"/>
    </w:rPr>
  </w:style>
  <w:style w:type="paragraph" w:customStyle="1" w:styleId="Els-body-text">
    <w:name w:val="Els-body-text"/>
    <w:link w:val="Els-body-textChar"/>
    <w:rsid w:val="00281E76"/>
    <w:pPr>
      <w:spacing w:line="240" w:lineRule="exact"/>
      <w:ind w:firstLine="238"/>
      <w:jc w:val="both"/>
    </w:pPr>
    <w:rPr>
      <w:rFonts w:eastAsia="SimSun"/>
      <w:lang w:val="en-US" w:eastAsia="en-US"/>
    </w:rPr>
  </w:style>
  <w:style w:type="character" w:customStyle="1" w:styleId="Els-body-textChar">
    <w:name w:val="Els-body-text Char"/>
    <w:basedOn w:val="DefaultParagraphFont"/>
    <w:link w:val="Els-body-text"/>
    <w:rsid w:val="00281E76"/>
    <w:rPr>
      <w:rFonts w:eastAsia="SimSun"/>
      <w:lang w:val="en-US" w:eastAsia="en-US"/>
    </w:rPr>
  </w:style>
  <w:style w:type="character" w:customStyle="1" w:styleId="texhtml">
    <w:name w:val="texhtml"/>
    <w:basedOn w:val="DefaultParagraphFont"/>
    <w:rsid w:val="0028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seenergies.e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hotmaps-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ermaps.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stafa\Desktop\EEG%20Projects\RES-H&amp;C%20Pathways\sSeenergies%20Report\lifetime_2021-04-1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0" i="0" baseline="0">
                <a:effectLst/>
              </a:rPr>
              <a:t>Market share (%)</a:t>
            </a:r>
            <a:endParaRPr lang="en-US" sz="1200">
              <a:effectLst/>
            </a:endParaRPr>
          </a:p>
          <a:p>
            <a:pPr>
              <a:defRPr sz="1200"/>
            </a:pPr>
            <a:r>
              <a:rPr lang="en-US" sz="1200" b="0" i="0" baseline="0">
                <a:effectLst/>
              </a:rPr>
              <a:t>in potential DH areas</a:t>
            </a:r>
            <a:endParaRPr lang="en-US" sz="1200">
              <a:effectLst/>
            </a:endParaRPr>
          </a:p>
        </c:rich>
      </c:tx>
      <c:layout>
        <c:manualLayout>
          <c:xMode val="edge"/>
          <c:yMode val="edge"/>
          <c:x val="0.1237845581802275"/>
          <c:y val="6.180221141812394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456036745406818E-2"/>
          <c:y val="3.1759259259259251E-2"/>
          <c:w val="0.88417804024496938"/>
          <c:h val="0.70459025955088961"/>
        </c:manualLayout>
      </c:layout>
      <c:lineChart>
        <c:grouping val="standard"/>
        <c:varyColors val="0"/>
        <c:ser>
          <c:idx val="0"/>
          <c:order val="0"/>
          <c:tx>
            <c:strRef>
              <c:f>Sheet1!$C$17</c:f>
              <c:strCache>
                <c:ptCount val="1"/>
                <c:pt idx="0">
                  <c:v>With
Re-Investment</c:v>
                </c:pt>
              </c:strCache>
            </c:strRef>
          </c:tx>
          <c:spPr>
            <a:ln w="28575" cap="rnd">
              <a:solidFill>
                <a:schemeClr val="accent1"/>
              </a:solidFill>
              <a:round/>
            </a:ln>
            <a:effectLst/>
          </c:spPr>
          <c:marker>
            <c:symbol val="none"/>
          </c:marker>
          <c:cat>
            <c:numRef>
              <c:f>Sheet1!$D$16:$AR$16</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Sheet1!$D$17:$AR$17</c:f>
              <c:numCache>
                <c:formatCode>0%</c:formatCode>
                <c:ptCount val="41"/>
                <c:pt idx="0">
                  <c:v>0.05</c:v>
                </c:pt>
                <c:pt idx="1">
                  <c:v>7.0000000000000007E-2</c:v>
                </c:pt>
                <c:pt idx="2">
                  <c:v>9.0000000000000011E-2</c:v>
                </c:pt>
                <c:pt idx="3">
                  <c:v>0.11000000000000001</c:v>
                </c:pt>
                <c:pt idx="4">
                  <c:v>0.13</c:v>
                </c:pt>
                <c:pt idx="5">
                  <c:v>0.15</c:v>
                </c:pt>
                <c:pt idx="6">
                  <c:v>0.16999999999999998</c:v>
                </c:pt>
                <c:pt idx="7">
                  <c:v>0.18999999999999997</c:v>
                </c:pt>
                <c:pt idx="8">
                  <c:v>0.20999999999999996</c:v>
                </c:pt>
                <c:pt idx="9">
                  <c:v>0.22999999999999995</c:v>
                </c:pt>
                <c:pt idx="10">
                  <c:v>0.24999999999999994</c:v>
                </c:pt>
                <c:pt idx="11">
                  <c:v>0.26999999999999996</c:v>
                </c:pt>
                <c:pt idx="12">
                  <c:v>0.28999999999999998</c:v>
                </c:pt>
                <c:pt idx="13">
                  <c:v>0.31000000000000005</c:v>
                </c:pt>
                <c:pt idx="14">
                  <c:v>0.33000000000000007</c:v>
                </c:pt>
                <c:pt idx="15">
                  <c:v>0.35000000000000009</c:v>
                </c:pt>
                <c:pt idx="16">
                  <c:v>0.37000000000000011</c:v>
                </c:pt>
                <c:pt idx="17">
                  <c:v>0.39000000000000012</c:v>
                </c:pt>
                <c:pt idx="18">
                  <c:v>0.41000000000000014</c:v>
                </c:pt>
                <c:pt idx="19">
                  <c:v>0.43000000000000016</c:v>
                </c:pt>
                <c:pt idx="20">
                  <c:v>0.45000000000000018</c:v>
                </c:pt>
                <c:pt idx="21">
                  <c:v>0.4700000000000002</c:v>
                </c:pt>
                <c:pt idx="22">
                  <c:v>0.49000000000000021</c:v>
                </c:pt>
                <c:pt idx="23">
                  <c:v>0.51000000000000023</c:v>
                </c:pt>
                <c:pt idx="24">
                  <c:v>0.53000000000000025</c:v>
                </c:pt>
                <c:pt idx="25">
                  <c:v>0.55000000000000027</c:v>
                </c:pt>
                <c:pt idx="26">
                  <c:v>0.57000000000000028</c:v>
                </c:pt>
                <c:pt idx="27">
                  <c:v>0.5900000000000003</c:v>
                </c:pt>
                <c:pt idx="28">
                  <c:v>0.61000000000000032</c:v>
                </c:pt>
                <c:pt idx="29">
                  <c:v>0.61000000000000032</c:v>
                </c:pt>
                <c:pt idx="30">
                  <c:v>0.61000000000000032</c:v>
                </c:pt>
                <c:pt idx="31">
                  <c:v>0.61000000000000032</c:v>
                </c:pt>
                <c:pt idx="32">
                  <c:v>0.61000000000000032</c:v>
                </c:pt>
                <c:pt idx="33">
                  <c:v>0.61000000000000032</c:v>
                </c:pt>
                <c:pt idx="34">
                  <c:v>0.61000000000000032</c:v>
                </c:pt>
                <c:pt idx="35">
                  <c:v>0.61000000000000032</c:v>
                </c:pt>
                <c:pt idx="36">
                  <c:v>0.61000000000000032</c:v>
                </c:pt>
                <c:pt idx="37">
                  <c:v>0.61000000000000032</c:v>
                </c:pt>
                <c:pt idx="38">
                  <c:v>0.61000000000000032</c:v>
                </c:pt>
                <c:pt idx="39">
                  <c:v>0.61000000000000032</c:v>
                </c:pt>
                <c:pt idx="40">
                  <c:v>0.61000000000000032</c:v>
                </c:pt>
              </c:numCache>
            </c:numRef>
          </c:val>
          <c:smooth val="0"/>
          <c:extLst>
            <c:ext xmlns:c16="http://schemas.microsoft.com/office/drawing/2014/chart" uri="{C3380CC4-5D6E-409C-BE32-E72D297353CC}">
              <c16:uniqueId val="{00000000-1ECC-4C89-A125-54C7117A6EE7}"/>
            </c:ext>
          </c:extLst>
        </c:ser>
        <c:ser>
          <c:idx val="1"/>
          <c:order val="1"/>
          <c:tx>
            <c:strRef>
              <c:f>Sheet1!$C$18</c:f>
              <c:strCache>
                <c:ptCount val="1"/>
                <c:pt idx="0">
                  <c:v>No
Re-Investment</c:v>
                </c:pt>
              </c:strCache>
            </c:strRef>
          </c:tx>
          <c:spPr>
            <a:ln w="28575" cap="rnd">
              <a:solidFill>
                <a:schemeClr val="accent2"/>
              </a:solidFill>
              <a:prstDash val="dashDot"/>
              <a:round/>
            </a:ln>
            <a:effectLst/>
          </c:spPr>
          <c:marker>
            <c:symbol val="none"/>
          </c:marker>
          <c:cat>
            <c:numRef>
              <c:f>Sheet1!$D$16:$AR$16</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Sheet1!$D$18:$AR$18</c:f>
              <c:numCache>
                <c:formatCode>0%</c:formatCode>
                <c:ptCount val="41"/>
                <c:pt idx="0">
                  <c:v>0.05</c:v>
                </c:pt>
                <c:pt idx="1">
                  <c:v>6.9000000000000006E-2</c:v>
                </c:pt>
                <c:pt idx="2">
                  <c:v>8.7620000000000003E-2</c:v>
                </c:pt>
                <c:pt idx="3">
                  <c:v>0.10586760000000001</c:v>
                </c:pt>
                <c:pt idx="4">
                  <c:v>0.12375024799999999</c:v>
                </c:pt>
                <c:pt idx="5">
                  <c:v>0.14127524304</c:v>
                </c:pt>
                <c:pt idx="6">
                  <c:v>0.15844973817919999</c:v>
                </c:pt>
                <c:pt idx="7">
                  <c:v>0.17528074341561597</c:v>
                </c:pt>
                <c:pt idx="8">
                  <c:v>0.19177512854730364</c:v>
                </c:pt>
                <c:pt idx="9">
                  <c:v>0.20793962597635757</c:v>
                </c:pt>
                <c:pt idx="10">
                  <c:v>0.22378083345683042</c:v>
                </c:pt>
                <c:pt idx="11">
                  <c:v>0.23930521678769381</c:v>
                </c:pt>
                <c:pt idx="12">
                  <c:v>0.25451911245193992</c:v>
                </c:pt>
                <c:pt idx="13">
                  <c:v>0.26942873020290115</c:v>
                </c:pt>
                <c:pt idx="14">
                  <c:v>0.28404015559884316</c:v>
                </c:pt>
                <c:pt idx="15">
                  <c:v>0.29835935248686629</c:v>
                </c:pt>
                <c:pt idx="16">
                  <c:v>0.312392165437129</c:v>
                </c:pt>
                <c:pt idx="17">
                  <c:v>0.32614432212838645</c:v>
                </c:pt>
                <c:pt idx="18">
                  <c:v>0.33962143568581876</c:v>
                </c:pt>
                <c:pt idx="19">
                  <c:v>0.3528290069721024</c:v>
                </c:pt>
                <c:pt idx="20">
                  <c:v>0.36577242683266037</c:v>
                </c:pt>
                <c:pt idx="21">
                  <c:v>0.37845697829600716</c:v>
                </c:pt>
                <c:pt idx="22">
                  <c:v>0.39088783873008703</c:v>
                </c:pt>
                <c:pt idx="23">
                  <c:v>0.40307008195548533</c:v>
                </c:pt>
                <c:pt idx="24">
                  <c:v>0.41500868031637561</c:v>
                </c:pt>
                <c:pt idx="25">
                  <c:v>0.42670850671004812</c:v>
                </c:pt>
                <c:pt idx="26">
                  <c:v>0.4381743365758472</c:v>
                </c:pt>
                <c:pt idx="27">
                  <c:v>0.44941084984433027</c:v>
                </c:pt>
                <c:pt idx="28">
                  <c:v>0.46042263284744367</c:v>
                </c:pt>
                <c:pt idx="29">
                  <c:v>0.45121418019049481</c:v>
                </c:pt>
                <c:pt idx="30">
                  <c:v>0.44218989658668489</c:v>
                </c:pt>
                <c:pt idx="31">
                  <c:v>0.43334609865495122</c:v>
                </c:pt>
                <c:pt idx="32">
                  <c:v>0.42467917668185218</c:v>
                </c:pt>
                <c:pt idx="33">
                  <c:v>0.41618559314821513</c:v>
                </c:pt>
                <c:pt idx="34">
                  <c:v>0.4078618812852508</c:v>
                </c:pt>
                <c:pt idx="35">
                  <c:v>0.39970464365954578</c:v>
                </c:pt>
                <c:pt idx="36">
                  <c:v>0.39171055078635486</c:v>
                </c:pt>
                <c:pt idx="37">
                  <c:v>0.38387633977062774</c:v>
                </c:pt>
                <c:pt idx="38">
                  <c:v>0.37619881297521518</c:v>
                </c:pt>
                <c:pt idx="39">
                  <c:v>0.36867483671571089</c:v>
                </c:pt>
                <c:pt idx="40">
                  <c:v>0.36130133998139669</c:v>
                </c:pt>
              </c:numCache>
            </c:numRef>
          </c:val>
          <c:smooth val="0"/>
          <c:extLst>
            <c:ext xmlns:c16="http://schemas.microsoft.com/office/drawing/2014/chart" uri="{C3380CC4-5D6E-409C-BE32-E72D297353CC}">
              <c16:uniqueId val="{00000001-1ECC-4C89-A125-54C7117A6EE7}"/>
            </c:ext>
          </c:extLst>
        </c:ser>
        <c:dLbls>
          <c:showLegendKey val="0"/>
          <c:showVal val="0"/>
          <c:showCatName val="0"/>
          <c:showSerName val="0"/>
          <c:showPercent val="0"/>
          <c:showBubbleSize val="0"/>
        </c:dLbls>
        <c:smooth val="0"/>
        <c:axId val="1136142095"/>
        <c:axId val="1129687727"/>
      </c:lineChart>
      <c:catAx>
        <c:axId val="113614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9687727"/>
        <c:crosses val="autoZero"/>
        <c:auto val="1"/>
        <c:lblAlgn val="ctr"/>
        <c:lblOffset val="100"/>
        <c:noMultiLvlLbl val="0"/>
      </c:catAx>
      <c:valAx>
        <c:axId val="11296877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6142095"/>
        <c:crosses val="autoZero"/>
        <c:crossBetween val="between"/>
      </c:valAx>
      <c:spPr>
        <a:noFill/>
        <a:ln>
          <a:noFill/>
        </a:ln>
        <a:effectLst/>
      </c:spPr>
    </c:plotArea>
    <c:legend>
      <c:legendPos val="b"/>
      <c:layout>
        <c:manualLayout>
          <c:xMode val="edge"/>
          <c:yMode val="edge"/>
          <c:x val="0.24128258967629046"/>
          <c:y val="0.84031116053715427"/>
          <c:w val="0.51743460192475943"/>
          <c:h val="0.107642470879926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70C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1040</Words>
  <Characters>5928</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vt:lpstr>
      <vt:lpstr>Titel</vt:lpstr>
    </vt:vector>
  </TitlesOfParts>
  <Company>TU-Wien Campuslizenz</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Mostafa Fallahnejad</cp:lastModifiedBy>
  <cp:revision>12</cp:revision>
  <dcterms:created xsi:type="dcterms:W3CDTF">2021-05-26T15:05:00Z</dcterms:created>
  <dcterms:modified xsi:type="dcterms:W3CDTF">2021-05-28T11:46:00Z</dcterms:modified>
</cp:coreProperties>
</file>