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D4F" w:rsidRPr="00097FB1" w:rsidRDefault="00097FB1" w:rsidP="005E4D4F">
      <w:pPr>
        <w:pStyle w:val="Abstract-Titel"/>
        <w:rPr>
          <w:lang w:val="en-US"/>
        </w:rPr>
      </w:pPr>
      <w:r w:rsidRPr="00BE0F09">
        <w:rPr>
          <w:lang w:val="en-US"/>
        </w:rPr>
        <w:t>Evaluation of cost-optimal technology portfolio under consideration of autarky</w:t>
      </w:r>
    </w:p>
    <w:p w:rsidR="005E4D4F" w:rsidRPr="001B7539" w:rsidRDefault="001B7539" w:rsidP="00A156E4">
      <w:pPr>
        <w:pStyle w:val="AutorenOrganisation"/>
      </w:pPr>
      <w:r>
        <w:t>Frida Huglen</w:t>
      </w:r>
      <w:r w:rsidR="005E4D4F" w:rsidRPr="005E4D4F">
        <w:t xml:space="preserve"> </w:t>
      </w:r>
      <w:r>
        <w:t>REVHEIM</w:t>
      </w:r>
      <w:r w:rsidR="00A156E4" w:rsidRPr="00A156E4">
        <w:rPr>
          <w:vertAlign w:val="superscript"/>
        </w:rPr>
        <w:t>1</w:t>
      </w:r>
      <w:r w:rsidR="005E4D4F" w:rsidRPr="005E4D4F">
        <w:t xml:space="preserve">, </w:t>
      </w:r>
      <w:r>
        <w:t>Daniel</w:t>
      </w:r>
      <w:r w:rsidR="00010E92" w:rsidRPr="005E4D4F">
        <w:t xml:space="preserve"> </w:t>
      </w:r>
      <w:r>
        <w:t>SCHWABENEDER</w:t>
      </w:r>
      <w:r>
        <w:rPr>
          <w:vertAlign w:val="superscript"/>
        </w:rPr>
        <w:t>1</w:t>
      </w:r>
      <w:r>
        <w:t>, Georg LETTNER</w:t>
      </w:r>
      <w:r>
        <w:rPr>
          <w:vertAlign w:val="superscript"/>
        </w:rPr>
        <w:t>1</w:t>
      </w:r>
    </w:p>
    <w:p w:rsidR="001B7539" w:rsidRPr="001B7539" w:rsidRDefault="00010E92" w:rsidP="001B7539">
      <w:pPr>
        <w:pStyle w:val="AutorenOrganisation"/>
        <w:rPr>
          <w:vertAlign w:val="superscript"/>
          <w:lang w:val="en-US"/>
        </w:rPr>
      </w:pPr>
      <w:r w:rsidRPr="00ED46FB">
        <w:rPr>
          <w:vertAlign w:val="superscript"/>
          <w:lang w:val="en-US"/>
        </w:rPr>
        <w:t>1</w:t>
      </w:r>
      <w:r w:rsidR="001B7539" w:rsidRPr="00ED46FB">
        <w:rPr>
          <w:lang w:val="en-US"/>
        </w:rPr>
        <w:t>TU</w:t>
      </w:r>
      <w:r w:rsidR="0019271A" w:rsidRPr="00ED46FB">
        <w:rPr>
          <w:lang w:val="en-US"/>
        </w:rPr>
        <w:t xml:space="preserve"> </w:t>
      </w:r>
      <w:r w:rsidR="001B7539" w:rsidRPr="00ED46FB">
        <w:rPr>
          <w:lang w:val="en-US"/>
        </w:rPr>
        <w:t xml:space="preserve">Wien </w:t>
      </w:r>
      <w:r w:rsidR="0019271A" w:rsidRPr="00ED46FB">
        <w:rPr>
          <w:lang w:val="en-US"/>
        </w:rPr>
        <w:t>- ESEA</w:t>
      </w:r>
    </w:p>
    <w:p w:rsidR="00A07737" w:rsidRPr="001B7539" w:rsidRDefault="00A07737" w:rsidP="00FB69AE">
      <w:pPr>
        <w:rPr>
          <w:lang w:val="en-US"/>
        </w:rPr>
      </w:pPr>
    </w:p>
    <w:p w:rsidR="005E4D4F" w:rsidRPr="0019271A" w:rsidRDefault="001B7539" w:rsidP="005E4D4F">
      <w:pPr>
        <w:pStyle w:val="Ueberschrift"/>
        <w:rPr>
          <w:lang w:val="en-US"/>
        </w:rPr>
      </w:pPr>
      <w:r w:rsidRPr="0019271A">
        <w:rPr>
          <w:lang w:val="en-US"/>
        </w:rPr>
        <w:t xml:space="preserve">Motivation </w:t>
      </w:r>
    </w:p>
    <w:p w:rsidR="005E4D4F" w:rsidRPr="00B8693E" w:rsidRDefault="00772703" w:rsidP="00D67296">
      <w:pPr>
        <w:rPr>
          <w:lang w:val="en-US"/>
        </w:rPr>
      </w:pPr>
      <w:r w:rsidRPr="00772703">
        <w:rPr>
          <w:lang w:val="en-US"/>
        </w:rPr>
        <w:t xml:space="preserve">Energy sector coupling could be a financially viable method </w:t>
      </w:r>
      <w:r w:rsidR="00D322BB">
        <w:rPr>
          <w:lang w:val="en-US"/>
        </w:rPr>
        <w:t>to ensure</w:t>
      </w:r>
      <w:r w:rsidRPr="00772703">
        <w:rPr>
          <w:lang w:val="en-US"/>
        </w:rPr>
        <w:t xml:space="preserve"> the continued development and operation of renewable energy sources</w:t>
      </w:r>
      <w:r w:rsidR="007A4FFF">
        <w:rPr>
          <w:lang w:val="en-US"/>
        </w:rPr>
        <w:t xml:space="preserve"> </w:t>
      </w:r>
      <w:r w:rsidR="007A4FFF">
        <w:rPr>
          <w:lang w:val="en-US"/>
        </w:rPr>
        <w:t>(RES)</w:t>
      </w:r>
      <w:r>
        <w:rPr>
          <w:lang w:val="en-US"/>
        </w:rPr>
        <w:t xml:space="preserve">, despite low electricity prices and </w:t>
      </w:r>
      <w:r w:rsidR="001F5333">
        <w:rPr>
          <w:lang w:val="en-US"/>
        </w:rPr>
        <w:t>expiring</w:t>
      </w:r>
      <w:r w:rsidRPr="00B8693E">
        <w:rPr>
          <w:lang w:val="en-US"/>
        </w:rPr>
        <w:t xml:space="preserve"> subsidies</w:t>
      </w:r>
      <w:r>
        <w:rPr>
          <w:lang w:val="en-US"/>
        </w:rPr>
        <w:t xml:space="preserve"> making</w:t>
      </w:r>
      <w:r w:rsidR="00EA03D6">
        <w:rPr>
          <w:lang w:val="en-US"/>
        </w:rPr>
        <w:t xml:space="preserve"> </w:t>
      </w:r>
      <w:r w:rsidRPr="00B8693E">
        <w:rPr>
          <w:lang w:val="en-US"/>
        </w:rPr>
        <w:t xml:space="preserve">the economic operation </w:t>
      </w:r>
      <w:r>
        <w:rPr>
          <w:lang w:val="en-US"/>
        </w:rPr>
        <w:t xml:space="preserve">and implementation </w:t>
      </w:r>
      <w:r w:rsidRPr="00B8693E">
        <w:rPr>
          <w:lang w:val="en-US"/>
        </w:rPr>
        <w:t xml:space="preserve">of </w:t>
      </w:r>
      <w:r w:rsidR="007A4FFF">
        <w:rPr>
          <w:lang w:val="en-US"/>
        </w:rPr>
        <w:t xml:space="preserve">RES </w:t>
      </w:r>
      <w:r w:rsidRPr="00B8693E">
        <w:rPr>
          <w:lang w:val="en-US"/>
        </w:rPr>
        <w:t>difficult.</w:t>
      </w:r>
      <w:r w:rsidR="000B2566">
        <w:rPr>
          <w:lang w:val="en-US"/>
        </w:rPr>
        <w:t xml:space="preserve"> </w:t>
      </w:r>
      <w:r w:rsidR="000B2566" w:rsidRPr="000B2566">
        <w:rPr>
          <w:lang w:val="en-US"/>
        </w:rPr>
        <w:t>Autarkic energy systems are able to lower their dependence o</w:t>
      </w:r>
      <w:r w:rsidR="007A4FFF">
        <w:rPr>
          <w:lang w:val="en-US"/>
        </w:rPr>
        <w:t>f</w:t>
      </w:r>
      <w:r w:rsidR="000B2566" w:rsidRPr="000B2566">
        <w:rPr>
          <w:lang w:val="en-US"/>
        </w:rPr>
        <w:t xml:space="preserve"> external energy resources. However, a high degree of autarky is usually accompanied by high costs for consumers [2]. </w:t>
      </w:r>
      <w:r>
        <w:rPr>
          <w:lang w:val="en-US"/>
        </w:rPr>
        <w:t>Through the utilization of energy cell</w:t>
      </w:r>
      <w:r w:rsidR="00EA03D6">
        <w:rPr>
          <w:lang w:val="en-US"/>
        </w:rPr>
        <w:t>s designed for long-term electricity storage</w:t>
      </w:r>
      <w:r>
        <w:rPr>
          <w:lang w:val="en-US"/>
        </w:rPr>
        <w:t xml:space="preserve">, end-users can increase their degree of </w:t>
      </w:r>
      <w:r w:rsidR="00EA03D6">
        <w:rPr>
          <w:lang w:val="en-US"/>
        </w:rPr>
        <w:t xml:space="preserve">energy autarky. </w:t>
      </w:r>
      <w:r w:rsidR="00EA03D6" w:rsidRPr="00B8693E">
        <w:rPr>
          <w:lang w:val="en-US"/>
        </w:rPr>
        <w:t xml:space="preserve">There is a scarcity of technical and economic experience </w:t>
      </w:r>
      <w:r w:rsidR="00EA03D6">
        <w:rPr>
          <w:lang w:val="en-US"/>
        </w:rPr>
        <w:t>regarding</w:t>
      </w:r>
      <w:r w:rsidR="00EA03D6" w:rsidRPr="00B8693E">
        <w:rPr>
          <w:lang w:val="en-US"/>
        </w:rPr>
        <w:t xml:space="preserve"> the interconnected operation of various grid </w:t>
      </w:r>
      <w:r w:rsidR="00EA03D6">
        <w:rPr>
          <w:lang w:val="en-US"/>
        </w:rPr>
        <w:t>infrastructures</w:t>
      </w:r>
      <w:r w:rsidR="00EA03D6" w:rsidRPr="00B8693E">
        <w:rPr>
          <w:lang w:val="en-US"/>
        </w:rPr>
        <w:t>.</w:t>
      </w:r>
      <w:r w:rsidR="00EA03D6">
        <w:rPr>
          <w:lang w:val="en-US"/>
        </w:rPr>
        <w:t xml:space="preserve"> Thus, i</w:t>
      </w:r>
      <w:r w:rsidR="00EA03D6" w:rsidRPr="00B8693E">
        <w:rPr>
          <w:lang w:val="en-US"/>
        </w:rPr>
        <w:t xml:space="preserve">nnovative operating methods </w:t>
      </w:r>
      <w:r w:rsidR="00EA03D6">
        <w:rPr>
          <w:lang w:val="en-US"/>
        </w:rPr>
        <w:t>must be investigated in order to</w:t>
      </w:r>
      <w:r w:rsidR="00EA03D6" w:rsidRPr="00B8693E">
        <w:rPr>
          <w:lang w:val="en-US"/>
        </w:rPr>
        <w:t xml:space="preserve"> </w:t>
      </w:r>
      <w:r w:rsidR="00EA03D6">
        <w:rPr>
          <w:lang w:val="en-US"/>
        </w:rPr>
        <w:t>ensure</w:t>
      </w:r>
      <w:r w:rsidR="00EA03D6" w:rsidRPr="00B8693E">
        <w:rPr>
          <w:lang w:val="en-US"/>
        </w:rPr>
        <w:t xml:space="preserve"> the continued </w:t>
      </w:r>
      <w:r w:rsidR="00EA03D6">
        <w:rPr>
          <w:lang w:val="en-US"/>
        </w:rPr>
        <w:t>deployment</w:t>
      </w:r>
      <w:r w:rsidR="00EA03D6" w:rsidRPr="00B8693E">
        <w:rPr>
          <w:lang w:val="en-US"/>
        </w:rPr>
        <w:t xml:space="preserve"> of RES-based generation</w:t>
      </w:r>
      <w:r w:rsidR="00EA03D6">
        <w:rPr>
          <w:lang w:val="en-US"/>
        </w:rPr>
        <w:t xml:space="preserve"> and energy storage technologies in the future. Furthermore, cost-optimal technology portfolios under conditions of </w:t>
      </w:r>
      <w:r w:rsidR="00B96AB7">
        <w:rPr>
          <w:lang w:val="en-US"/>
        </w:rPr>
        <w:t xml:space="preserve">meeting </w:t>
      </w:r>
      <w:r w:rsidR="00EA03D6">
        <w:rPr>
          <w:lang w:val="en-US"/>
        </w:rPr>
        <w:t xml:space="preserve">desired degrees of energy autarky must be evaluated.  </w:t>
      </w:r>
    </w:p>
    <w:p w:rsidR="005E4D4F" w:rsidRDefault="00614AD2" w:rsidP="005E4D4F">
      <w:pPr>
        <w:pStyle w:val="Ueberschrift"/>
        <w:rPr>
          <w:lang w:val="en-US"/>
        </w:rPr>
      </w:pPr>
      <w:r w:rsidRPr="00B347B3">
        <w:rPr>
          <w:lang w:val="en-US"/>
        </w:rPr>
        <w:t>Method</w:t>
      </w:r>
    </w:p>
    <w:p w:rsidR="00D67296" w:rsidRDefault="00D67296" w:rsidP="00D67296">
      <w:pPr>
        <w:rPr>
          <w:lang w:val="en-GB"/>
        </w:rPr>
      </w:pPr>
      <w:r w:rsidRPr="00D67296">
        <w:rPr>
          <w:lang w:val="en-GB"/>
        </w:rPr>
        <w:t xml:space="preserve">This </w:t>
      </w:r>
      <w:r>
        <w:rPr>
          <w:lang w:val="en-GB"/>
        </w:rPr>
        <w:t>paper</w:t>
      </w:r>
      <w:r w:rsidRPr="00D67296">
        <w:rPr>
          <w:lang w:val="en-GB"/>
        </w:rPr>
        <w:t xml:space="preserve"> builds on </w:t>
      </w:r>
      <w:r>
        <w:rPr>
          <w:lang w:val="en-GB"/>
        </w:rPr>
        <w:t>work performed within the Energy Cell Johann</w:t>
      </w:r>
      <w:r w:rsidRPr="00D67296">
        <w:rPr>
          <w:lang w:val="en-GB"/>
        </w:rPr>
        <w:t xml:space="preserve"> project </w:t>
      </w:r>
      <w:sdt>
        <w:sdtPr>
          <w:rPr>
            <w:lang w:val="en-GB"/>
          </w:rPr>
          <w:id w:val="-567573463"/>
          <w:citation/>
        </w:sdtPr>
        <w:sdtEndPr/>
        <w:sdtContent>
          <w:r>
            <w:rPr>
              <w:lang w:val="en-GB"/>
            </w:rPr>
            <w:fldChar w:fldCharType="begin"/>
          </w:r>
          <w:r w:rsidR="001F5333">
            <w:rPr>
              <w:lang w:val="en-US"/>
            </w:rPr>
            <w:instrText xml:space="preserve">CITATION FFG21 \l 1033 </w:instrText>
          </w:r>
          <w:r>
            <w:rPr>
              <w:lang w:val="en-GB"/>
            </w:rPr>
            <w:fldChar w:fldCharType="separate"/>
          </w:r>
          <w:r w:rsidR="001F5333" w:rsidRPr="001F5333">
            <w:rPr>
              <w:noProof/>
              <w:lang w:val="en-US"/>
            </w:rPr>
            <w:t>[1]</w:t>
          </w:r>
          <w:r>
            <w:rPr>
              <w:lang w:val="en-GB"/>
            </w:rPr>
            <w:fldChar w:fldCharType="end"/>
          </w:r>
        </w:sdtContent>
      </w:sdt>
      <w:r>
        <w:rPr>
          <w:lang w:val="en-GB"/>
        </w:rPr>
        <w:t xml:space="preserve">, where seasonal storage technology with multimodal and multi-functioning applications was investigated. </w:t>
      </w:r>
      <w:r w:rsidR="00195227">
        <w:rPr>
          <w:lang w:val="en-GB"/>
        </w:rPr>
        <w:t>A</w:t>
      </w:r>
      <w:r w:rsidR="006E7D3B">
        <w:rPr>
          <w:lang w:val="en-GB"/>
        </w:rPr>
        <w:t>n</w:t>
      </w:r>
      <w:r w:rsidR="00195227">
        <w:rPr>
          <w:lang w:val="en-GB"/>
        </w:rPr>
        <w:t xml:space="preserve"> investigative analysis is performed in order to evaluate the impact of long-term electricity storage, as well as local hydrogen production and sector coupling, on </w:t>
      </w:r>
      <w:r w:rsidR="006E7D3B">
        <w:rPr>
          <w:lang w:val="en-GB"/>
        </w:rPr>
        <w:t xml:space="preserve">end-users. Particular focus is given to achieving the desired degree of autarky and investment planned modelling is performed in order to evaluate the cost-optimal technology portfolios under the requirement of autarky. </w:t>
      </w:r>
    </w:p>
    <w:p w:rsidR="00ED6F34" w:rsidRDefault="00ED6F34" w:rsidP="00D67296">
      <w:pPr>
        <w:rPr>
          <w:lang w:val="en-GB"/>
        </w:rPr>
      </w:pPr>
    </w:p>
    <w:p w:rsidR="0078445B" w:rsidRDefault="00ED6F34" w:rsidP="0078445B">
      <w:pPr>
        <w:rPr>
          <w:lang w:val="en-GB"/>
        </w:rPr>
      </w:pPr>
      <w:r w:rsidRPr="00ED6F34">
        <w:rPr>
          <w:lang w:val="en-GB"/>
        </w:rPr>
        <w:t>A mathematical optimization model</w:t>
      </w:r>
      <w:r>
        <w:rPr>
          <w:lang w:val="en-GB"/>
        </w:rPr>
        <w:t xml:space="preserve"> </w:t>
      </w:r>
      <w:r w:rsidRPr="00ED6F34">
        <w:rPr>
          <w:lang w:val="en-GB"/>
        </w:rPr>
        <w:t>is developed in Julia</w:t>
      </w:r>
      <w:r>
        <w:rPr>
          <w:rStyle w:val="FootnoteReference"/>
          <w:lang w:val="en-GB"/>
        </w:rPr>
        <w:footnoteReference w:id="1"/>
      </w:r>
      <w:r w:rsidRPr="00ED6F34">
        <w:rPr>
          <w:lang w:val="en-GB"/>
        </w:rPr>
        <w:t xml:space="preserve">. An overview of the modelled system is presented in </w:t>
      </w:r>
      <w:r w:rsidR="00B653B4">
        <w:rPr>
          <w:lang w:val="en-GB"/>
        </w:rPr>
        <w:fldChar w:fldCharType="begin"/>
      </w:r>
      <w:r w:rsidR="00B653B4">
        <w:rPr>
          <w:lang w:val="en-GB"/>
        </w:rPr>
        <w:instrText xml:space="preserve"> REF _Ref72604708 \h </w:instrText>
      </w:r>
      <w:r w:rsidR="00B653B4">
        <w:rPr>
          <w:lang w:val="en-GB"/>
        </w:rPr>
      </w:r>
      <w:r w:rsidR="00B653B4">
        <w:rPr>
          <w:lang w:val="en-GB"/>
        </w:rPr>
        <w:fldChar w:fldCharType="separate"/>
      </w:r>
      <w:r w:rsidR="00B653B4" w:rsidRPr="00ED6F34">
        <w:rPr>
          <w:lang w:val="en-US"/>
        </w:rPr>
        <w:t xml:space="preserve">Figure </w:t>
      </w:r>
      <w:r w:rsidR="00B653B4" w:rsidRPr="00ED6F34">
        <w:rPr>
          <w:noProof/>
          <w:lang w:val="en-US"/>
        </w:rPr>
        <w:t>1</w:t>
      </w:r>
      <w:r w:rsidR="00B653B4">
        <w:rPr>
          <w:lang w:val="en-GB"/>
        </w:rPr>
        <w:fldChar w:fldCharType="end"/>
      </w:r>
      <w:r w:rsidRPr="00ED6F34">
        <w:rPr>
          <w:lang w:val="en-GB"/>
        </w:rPr>
        <w:t>.</w:t>
      </w:r>
      <w:r w:rsidR="00B653B4">
        <w:rPr>
          <w:lang w:val="en-GB"/>
        </w:rPr>
        <w:t xml:space="preserve"> The investigated system enables both power-to-gas and gas-to-power conversion, as well as long-term storage of electricity, through the </w:t>
      </w:r>
      <w:r w:rsidR="00B653B4" w:rsidRPr="00ED6F34">
        <w:rPr>
          <w:lang w:val="en-GB"/>
        </w:rPr>
        <w:t xml:space="preserve">implementation of </w:t>
      </w:r>
      <w:r w:rsidR="0078445B">
        <w:rPr>
          <w:lang w:val="en-GB"/>
        </w:rPr>
        <w:t>technologies such as</w:t>
      </w:r>
      <w:r w:rsidR="00B653B4">
        <w:rPr>
          <w:lang w:val="en-GB"/>
        </w:rPr>
        <w:t xml:space="preserve"> </w:t>
      </w:r>
      <w:r w:rsidR="00EA615B" w:rsidRPr="00ED6F34">
        <w:rPr>
          <w:lang w:val="en-GB"/>
        </w:rPr>
        <w:t>electrolyser</w:t>
      </w:r>
      <w:r w:rsidR="0078445B">
        <w:rPr>
          <w:lang w:val="en-GB"/>
        </w:rPr>
        <w:t>, fuel cell</w:t>
      </w:r>
      <w:r w:rsidR="00B653B4">
        <w:rPr>
          <w:lang w:val="en-GB"/>
        </w:rPr>
        <w:t xml:space="preserve"> and hydrogen storage unit within the energy cell</w:t>
      </w:r>
      <w:r w:rsidR="00B653B4" w:rsidRPr="00ED6F34">
        <w:rPr>
          <w:lang w:val="en-GB"/>
        </w:rPr>
        <w:t xml:space="preserve">. </w:t>
      </w:r>
      <w:r w:rsidR="00A816EF">
        <w:rPr>
          <w:lang w:val="en-GB"/>
        </w:rPr>
        <w:t xml:space="preserve">It is assumed that hydrogen can be extracted from the energy cell and sold to the hydrogen market, as well as serving as a mean </w:t>
      </w:r>
      <w:r w:rsidR="00960E58">
        <w:rPr>
          <w:lang w:val="en-GB"/>
        </w:rPr>
        <w:t>to enable</w:t>
      </w:r>
      <w:r w:rsidR="00A816EF">
        <w:rPr>
          <w:lang w:val="en-GB"/>
        </w:rPr>
        <w:t xml:space="preserve"> long-term storage of electricity. </w:t>
      </w:r>
      <w:r w:rsidR="00D03141">
        <w:rPr>
          <w:lang w:val="en-GB"/>
        </w:rPr>
        <w:t>W</w:t>
      </w:r>
      <w:r w:rsidR="00B653B4">
        <w:rPr>
          <w:lang w:val="en-GB"/>
        </w:rPr>
        <w:t xml:space="preserve">aste-heat generated in the process of converting electricity to hydrogen is utilized to </w:t>
      </w:r>
      <w:r w:rsidR="0078445B">
        <w:rPr>
          <w:lang w:val="en-GB"/>
        </w:rPr>
        <w:t xml:space="preserve">aid </w:t>
      </w:r>
      <w:r w:rsidR="00B653B4">
        <w:rPr>
          <w:lang w:val="en-GB"/>
        </w:rPr>
        <w:t>cover the heat demand of end-customers.</w:t>
      </w:r>
      <w:r w:rsidR="0078445B">
        <w:rPr>
          <w:lang w:val="en-GB"/>
        </w:rPr>
        <w:t xml:space="preserve"> The cost-optimal </w:t>
      </w:r>
      <w:r w:rsidR="00EA615B">
        <w:rPr>
          <w:lang w:val="en-GB"/>
        </w:rPr>
        <w:t>technology</w:t>
      </w:r>
      <w:r w:rsidR="0078445B">
        <w:rPr>
          <w:lang w:val="en-GB"/>
        </w:rPr>
        <w:t xml:space="preserve"> portfolio is investigated through a</w:t>
      </w:r>
      <w:r w:rsidR="00EA615B">
        <w:rPr>
          <w:lang w:val="en-GB"/>
        </w:rPr>
        <w:t>n</w:t>
      </w:r>
      <w:r w:rsidR="0078445B">
        <w:rPr>
          <w:lang w:val="en-GB"/>
        </w:rPr>
        <w:t xml:space="preserve"> optimization which aims to minimize investment costs while continuously meet the desired degree of energy autarky.</w:t>
      </w:r>
    </w:p>
    <w:p w:rsidR="0078445B" w:rsidRDefault="0078445B" w:rsidP="0078445B">
      <w:pPr>
        <w:rPr>
          <w:lang w:val="en-GB"/>
        </w:rPr>
      </w:pPr>
    </w:p>
    <w:p w:rsidR="0078445B" w:rsidRDefault="0078445B" w:rsidP="0078445B">
      <w:pPr>
        <w:keepNext/>
      </w:pPr>
      <w:r>
        <w:rPr>
          <w:noProof/>
        </w:rPr>
        <w:drawing>
          <wp:inline distT="0" distB="0" distL="0" distR="0" wp14:anchorId="3E188CD4" wp14:editId="4EDF6AF8">
            <wp:extent cx="5760720" cy="1852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3_stor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D4F" w:rsidRPr="00EA03D6" w:rsidRDefault="0078445B" w:rsidP="0078445B">
      <w:pPr>
        <w:pStyle w:val="Caption"/>
        <w:rPr>
          <w:lang w:val="en-US"/>
        </w:rPr>
      </w:pPr>
      <w:bookmarkStart w:id="0" w:name="_Ref72604708"/>
      <w:r w:rsidRPr="00ED6F34">
        <w:rPr>
          <w:lang w:val="en-US"/>
        </w:rPr>
        <w:t xml:space="preserve">Figure </w:t>
      </w:r>
      <w:r>
        <w:fldChar w:fldCharType="begin"/>
      </w:r>
      <w:r w:rsidRPr="00ED6F34">
        <w:rPr>
          <w:lang w:val="en-US"/>
        </w:rPr>
        <w:instrText xml:space="preserve"> SEQ Figure \* ARABIC </w:instrText>
      </w:r>
      <w:r>
        <w:fldChar w:fldCharType="separate"/>
      </w:r>
      <w:r w:rsidRPr="00ED6F34">
        <w:rPr>
          <w:noProof/>
          <w:lang w:val="en-US"/>
        </w:rPr>
        <w:t>1</w:t>
      </w:r>
      <w:r>
        <w:fldChar w:fldCharType="end"/>
      </w:r>
      <w:bookmarkEnd w:id="0"/>
      <w:r w:rsidRPr="00ED6F34">
        <w:rPr>
          <w:lang w:val="en-US"/>
        </w:rPr>
        <w:t>: Sector coupling model including the Johann energy cell</w:t>
      </w:r>
    </w:p>
    <w:p w:rsidR="005E4D4F" w:rsidRPr="00F97508" w:rsidRDefault="00614AD2" w:rsidP="005E4D4F">
      <w:pPr>
        <w:pStyle w:val="Ueberschrift"/>
        <w:rPr>
          <w:lang w:val="en-AT"/>
        </w:rPr>
      </w:pPr>
      <w:r w:rsidRPr="00F97508">
        <w:rPr>
          <w:lang w:val="en-AT"/>
        </w:rPr>
        <w:t>Results</w:t>
      </w:r>
    </w:p>
    <w:p w:rsidR="001F5333" w:rsidRDefault="00D03141" w:rsidP="005E4D4F">
      <w:pPr>
        <w:pStyle w:val="Ueberschrift"/>
        <w:rPr>
          <w:b w:val="0"/>
          <w:sz w:val="20"/>
          <w:lang w:val="en-US"/>
        </w:rPr>
      </w:pPr>
      <w:r>
        <w:rPr>
          <w:b w:val="0"/>
          <w:sz w:val="20"/>
          <w:lang w:val="en-US"/>
        </w:rPr>
        <w:t xml:space="preserve">The implementation of a controllable energy cell represents a potential solution of prosumer autonomy and enables for a more renewable energy supply. </w:t>
      </w:r>
      <w:r w:rsidR="001B0C55" w:rsidRPr="001B0C55">
        <w:rPr>
          <w:b w:val="0"/>
          <w:sz w:val="20"/>
          <w:lang w:val="en-AT"/>
        </w:rPr>
        <w:t xml:space="preserve">Results </w:t>
      </w:r>
      <w:r w:rsidR="00A816EF" w:rsidRPr="00F97508">
        <w:rPr>
          <w:b w:val="0"/>
          <w:sz w:val="20"/>
          <w:lang w:val="en-AT"/>
        </w:rPr>
        <w:t xml:space="preserve">related to </w:t>
      </w:r>
      <w:r w:rsidR="00F97508" w:rsidRPr="00F97508">
        <w:rPr>
          <w:b w:val="0"/>
          <w:sz w:val="20"/>
          <w:lang w:val="en-AT"/>
        </w:rPr>
        <w:t xml:space="preserve">the influence of </w:t>
      </w:r>
      <w:r w:rsidR="00F97508" w:rsidRPr="00F97508">
        <w:rPr>
          <w:b w:val="0"/>
          <w:sz w:val="20"/>
          <w:lang w:val="en-US"/>
        </w:rPr>
        <w:t>long-term electricity storage, local hydrogen production and sector coupling on end-users</w:t>
      </w:r>
      <w:r w:rsidR="00F97508" w:rsidRPr="00F97508">
        <w:rPr>
          <w:b w:val="0"/>
          <w:sz w:val="20"/>
          <w:lang w:val="en-AT"/>
        </w:rPr>
        <w:t xml:space="preserve">, particularly </w:t>
      </w:r>
      <w:r w:rsidR="00A816EF">
        <w:rPr>
          <w:b w:val="0"/>
          <w:sz w:val="20"/>
          <w:lang w:val="en-US"/>
        </w:rPr>
        <w:t xml:space="preserve">regarding </w:t>
      </w:r>
      <w:r w:rsidR="00F97508">
        <w:rPr>
          <w:b w:val="0"/>
          <w:sz w:val="20"/>
          <w:lang w:val="en-US"/>
        </w:rPr>
        <w:t>economic impact</w:t>
      </w:r>
      <w:r w:rsidR="00F97508" w:rsidRPr="00F97508">
        <w:rPr>
          <w:b w:val="0"/>
          <w:sz w:val="20"/>
          <w:lang w:val="en-US"/>
        </w:rPr>
        <w:t>,</w:t>
      </w:r>
      <w:r w:rsidR="00F97508">
        <w:rPr>
          <w:b w:val="0"/>
          <w:sz w:val="20"/>
          <w:lang w:val="en-US"/>
        </w:rPr>
        <w:t xml:space="preserve"> ability to </w:t>
      </w:r>
      <w:r w:rsidR="00A33F95">
        <w:rPr>
          <w:b w:val="0"/>
          <w:sz w:val="20"/>
          <w:lang w:val="en-US"/>
        </w:rPr>
        <w:t>maintain</w:t>
      </w:r>
      <w:r w:rsidR="00F97508">
        <w:rPr>
          <w:b w:val="0"/>
          <w:sz w:val="20"/>
          <w:lang w:val="en-US"/>
        </w:rPr>
        <w:t xml:space="preserve"> a certain</w:t>
      </w:r>
      <w:r w:rsidR="00F97508" w:rsidRPr="00F97508">
        <w:rPr>
          <w:b w:val="0"/>
          <w:sz w:val="20"/>
          <w:lang w:val="en-US"/>
        </w:rPr>
        <w:t xml:space="preserve"> degree of </w:t>
      </w:r>
      <w:r w:rsidR="003F19BF">
        <w:rPr>
          <w:b w:val="0"/>
          <w:sz w:val="20"/>
          <w:lang w:val="en-US"/>
        </w:rPr>
        <w:t xml:space="preserve">energy </w:t>
      </w:r>
      <w:r w:rsidR="00F97508" w:rsidRPr="00F97508">
        <w:rPr>
          <w:b w:val="0"/>
          <w:sz w:val="20"/>
          <w:lang w:val="en-US"/>
        </w:rPr>
        <w:t>autarky</w:t>
      </w:r>
      <w:r w:rsidR="00F97508" w:rsidRPr="00F97508">
        <w:rPr>
          <w:b w:val="0"/>
          <w:sz w:val="20"/>
          <w:lang w:val="en-AT"/>
        </w:rPr>
        <w:t xml:space="preserve"> and to reduce greenhouse ga</w:t>
      </w:r>
      <w:bookmarkStart w:id="1" w:name="_GoBack"/>
      <w:bookmarkEnd w:id="1"/>
      <w:r w:rsidR="00F97508" w:rsidRPr="00F97508">
        <w:rPr>
          <w:b w:val="0"/>
          <w:sz w:val="20"/>
          <w:lang w:val="en-AT"/>
        </w:rPr>
        <w:t xml:space="preserve">s emissions, will depend on </w:t>
      </w:r>
      <w:r w:rsidR="00F97508" w:rsidRPr="00F97508">
        <w:rPr>
          <w:b w:val="0"/>
          <w:sz w:val="20"/>
          <w:lang w:val="en-AT"/>
        </w:rPr>
        <w:lastRenderedPageBreak/>
        <w:t>comprehensive analyses that will be performed in the course of this work.</w:t>
      </w:r>
      <w:r w:rsidR="00A816EF">
        <w:rPr>
          <w:b w:val="0"/>
          <w:sz w:val="20"/>
          <w:lang w:val="en-US"/>
        </w:rPr>
        <w:t xml:space="preserve"> Further analyses of the cost-optimal technology portfolio will provide insights into optimal system designs for use cases with varying desire for energy autarky. </w:t>
      </w:r>
    </w:p>
    <w:p w:rsidR="001F5333" w:rsidRPr="004231A6" w:rsidRDefault="0070082C" w:rsidP="004231A6">
      <w:pPr>
        <w:jc w:val="left"/>
        <w:rPr>
          <w:rFonts w:cs="Arial"/>
          <w:szCs w:val="20"/>
          <w:lang w:val="en-AT" w:eastAsia="en-AT"/>
        </w:rPr>
      </w:pPr>
      <w:r w:rsidRPr="00294121">
        <w:rPr>
          <w:i/>
          <w:lang w:val="en-US"/>
        </w:rPr>
        <w:t>Acknowledgement</w:t>
      </w:r>
      <w:r w:rsidR="00294121" w:rsidRPr="00294121">
        <w:rPr>
          <w:i/>
          <w:lang w:val="en-US"/>
        </w:rPr>
        <w:t>s</w:t>
      </w:r>
      <w:r>
        <w:rPr>
          <w:lang w:val="en-US"/>
        </w:rPr>
        <w:t xml:space="preserve">: </w:t>
      </w:r>
      <w:r w:rsidR="001F5333" w:rsidRPr="001F5333">
        <w:rPr>
          <w:rFonts w:cs="Arial"/>
          <w:szCs w:val="20"/>
          <w:lang w:val="en-AT" w:eastAsia="en-AT"/>
        </w:rPr>
        <w:t>This work is done in the “</w:t>
      </w:r>
      <w:r w:rsidR="001F5333">
        <w:rPr>
          <w:lang w:val="en-US"/>
        </w:rPr>
        <w:t>Energy cell “JOHANN”</w:t>
      </w:r>
      <w:r w:rsidR="001F5333" w:rsidRPr="001F5333">
        <w:rPr>
          <w:rFonts w:cs="Arial"/>
          <w:szCs w:val="20"/>
          <w:lang w:val="en-AT" w:eastAsia="en-AT"/>
        </w:rPr>
        <w:t>” project</w:t>
      </w:r>
      <w:r w:rsidR="001F5333">
        <w:rPr>
          <w:rFonts w:cs="Arial"/>
          <w:szCs w:val="20"/>
          <w:lang w:val="en-US" w:eastAsia="en-AT"/>
        </w:rPr>
        <w:t xml:space="preserve"> </w:t>
      </w:r>
      <w:sdt>
        <w:sdtPr>
          <w:rPr>
            <w:rFonts w:cs="Arial"/>
            <w:szCs w:val="20"/>
            <w:lang w:val="en-US" w:eastAsia="en-AT"/>
          </w:rPr>
          <w:id w:val="-1286889721"/>
          <w:citation/>
        </w:sdtPr>
        <w:sdtContent>
          <w:r w:rsidR="001F5333">
            <w:rPr>
              <w:rFonts w:cs="Arial"/>
              <w:szCs w:val="20"/>
              <w:lang w:val="en-US" w:eastAsia="en-AT"/>
            </w:rPr>
            <w:fldChar w:fldCharType="begin"/>
          </w:r>
          <w:r w:rsidR="001F5333">
            <w:rPr>
              <w:rFonts w:cs="Arial"/>
              <w:szCs w:val="20"/>
              <w:lang w:val="en-US" w:eastAsia="en-AT"/>
            </w:rPr>
            <w:instrText xml:space="preserve">CITATION FFG21 \l 1033 </w:instrText>
          </w:r>
          <w:r w:rsidR="001F5333">
            <w:rPr>
              <w:rFonts w:cs="Arial"/>
              <w:szCs w:val="20"/>
              <w:lang w:val="en-US" w:eastAsia="en-AT"/>
            </w:rPr>
            <w:fldChar w:fldCharType="separate"/>
          </w:r>
          <w:r w:rsidR="001F5333" w:rsidRPr="001F5333">
            <w:rPr>
              <w:rFonts w:cs="Arial"/>
              <w:noProof/>
              <w:szCs w:val="20"/>
              <w:lang w:val="en-US" w:eastAsia="en-AT"/>
            </w:rPr>
            <w:t>[1]</w:t>
          </w:r>
          <w:r w:rsidR="001F5333">
            <w:rPr>
              <w:rFonts w:cs="Arial"/>
              <w:szCs w:val="20"/>
              <w:lang w:val="en-US" w:eastAsia="en-AT"/>
            </w:rPr>
            <w:fldChar w:fldCharType="end"/>
          </w:r>
        </w:sdtContent>
      </w:sdt>
      <w:r w:rsidR="001F5333">
        <w:rPr>
          <w:rFonts w:cs="Arial"/>
          <w:szCs w:val="20"/>
          <w:lang w:val="en-US" w:eastAsia="en-AT"/>
        </w:rPr>
        <w:t xml:space="preserve"> </w:t>
      </w:r>
      <w:r w:rsidR="001F5333" w:rsidRPr="001F5333">
        <w:rPr>
          <w:rFonts w:cs="Arial"/>
          <w:szCs w:val="20"/>
          <w:lang w:val="en-AT" w:eastAsia="en-AT"/>
        </w:rPr>
        <w:t>and is supported with the funds from the Climate and Energy Fund and implemented in the framework of the RTI-initiative “Flagship region Energy” within Green Energy Lab.</w:t>
      </w:r>
    </w:p>
    <w:sdt>
      <w:sdtPr>
        <w:rPr>
          <w:rFonts w:ascii="Arial" w:eastAsia="Times New Roman" w:hAnsi="Arial" w:cs="Times New Roman"/>
          <w:color w:val="auto"/>
          <w:sz w:val="20"/>
          <w:szCs w:val="24"/>
          <w:lang w:val="de-DE" w:eastAsia="ko-KR"/>
        </w:rPr>
        <w:id w:val="240298099"/>
        <w:docPartObj>
          <w:docPartGallery w:val="Bibliographies"/>
          <w:docPartUnique/>
        </w:docPartObj>
      </w:sdtPr>
      <w:sdtEndPr/>
      <w:sdtContent>
        <w:p w:rsidR="00D67296" w:rsidRPr="00D67296" w:rsidRDefault="00D67296">
          <w:pPr>
            <w:pStyle w:val="Heading1"/>
            <w:rPr>
              <w:rFonts w:ascii="Arial" w:hAnsi="Arial" w:cs="Arial"/>
              <w:b/>
              <w:color w:val="auto"/>
              <w:sz w:val="22"/>
              <w:szCs w:val="22"/>
            </w:rPr>
          </w:pPr>
          <w:r w:rsidRPr="00D67296">
            <w:rPr>
              <w:rFonts w:ascii="Arial" w:hAnsi="Arial" w:cs="Arial"/>
              <w:b/>
              <w:color w:val="auto"/>
              <w:sz w:val="22"/>
              <w:szCs w:val="22"/>
            </w:rPr>
            <w:t>References</w:t>
          </w:r>
        </w:p>
        <w:sdt>
          <w:sdtPr>
            <w:id w:val="-573587230"/>
            <w:bibliography/>
          </w:sdtPr>
          <w:sdtEndPr/>
          <w:sdtContent>
            <w:p w:rsidR="000B2566" w:rsidRDefault="00D67296">
              <w:pPr>
                <w:rPr>
                  <w:rFonts w:ascii="Times New Roman" w:hAnsi="Times New Roman"/>
                  <w:noProof/>
                  <w:szCs w:val="20"/>
                  <w:lang w:eastAsia="de-D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298"/>
                <w:gridCol w:w="8774"/>
              </w:tblGrid>
              <w:tr w:rsidR="000B2566">
                <w:trPr>
                  <w:divId w:val="1611662465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B2566" w:rsidRDefault="000B2566">
                    <w:pPr>
                      <w:pStyle w:val="Bibliography"/>
                      <w:rPr>
                        <w:noProof/>
                        <w:sz w:val="24"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B2566" w:rsidRDefault="000B2566">
                    <w:pPr>
                      <w:pStyle w:val="Bibliography"/>
                      <w:rPr>
                        <w:noProof/>
                        <w:lang w:val="en-US"/>
                      </w:rPr>
                    </w:pPr>
                    <w:r w:rsidRPr="000B2566">
                      <w:rPr>
                        <w:noProof/>
                        <w:lang w:val="de-AT"/>
                      </w:rPr>
                      <w:t xml:space="preserve">Green Energy Lab, "Energiezelle „JOHANN“," GEL, [Online]. </w:t>
                    </w:r>
                    <w:r>
                      <w:rPr>
                        <w:noProof/>
                        <w:lang w:val="en-US"/>
                      </w:rPr>
                      <w:t>Available: https://greenenergylab.at/projects/energiezelle-johann/. [Accessed 05 2021].</w:t>
                    </w:r>
                  </w:p>
                </w:tc>
              </w:tr>
              <w:tr w:rsidR="000B2566" w:rsidRPr="000B2566">
                <w:trPr>
                  <w:divId w:val="1611662465"/>
                  <w:tblCellSpacing w:w="15" w:type="dxa"/>
                </w:trPr>
                <w:tc>
                  <w:tcPr>
                    <w:tcW w:w="50" w:type="pct"/>
                    <w:hideMark/>
                  </w:tcPr>
                  <w:p w:rsidR="000B2566" w:rsidRDefault="000B2566">
                    <w:pPr>
                      <w:pStyle w:val="Bibliography"/>
                      <w:rPr>
                        <w:noProof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[2] </w:t>
                    </w:r>
                  </w:p>
                </w:tc>
                <w:tc>
                  <w:tcPr>
                    <w:tcW w:w="0" w:type="auto"/>
                    <w:hideMark/>
                  </w:tcPr>
                  <w:p w:rsidR="000B2566" w:rsidRDefault="000B2566">
                    <w:pPr>
                      <w:pStyle w:val="Bibliography"/>
                      <w:rPr>
                        <w:noProof/>
                        <w:lang w:val="en-US"/>
                      </w:rPr>
                    </w:pPr>
                    <w:r>
                      <w:rPr>
                        <w:noProof/>
                        <w:lang w:val="en-US"/>
                      </w:rPr>
                      <w:t xml:space="preserve">J. Schmidt, M. Schönhart, M. Biberacher, T. Guggenberger, S. Hausl, G. Kalt, S. Leduc, I. Schardinger and E. Schmid, "Regional energy autarky: Potentials, costs and consequences for an Austrian region," </w:t>
                    </w:r>
                    <w:r>
                      <w:rPr>
                        <w:i/>
                        <w:iCs/>
                        <w:noProof/>
                        <w:lang w:val="en-US"/>
                      </w:rPr>
                      <w:t xml:space="preserve">Energy Policy, </w:t>
                    </w:r>
                    <w:r>
                      <w:rPr>
                        <w:noProof/>
                        <w:lang w:val="en-US"/>
                      </w:rPr>
                      <w:t xml:space="preserve">vol. 47, no. 0301-4215, pp. 211-221, 2012. </w:t>
                    </w:r>
                  </w:p>
                </w:tc>
              </w:tr>
            </w:tbl>
            <w:p w:rsidR="000B2566" w:rsidRPr="000B2566" w:rsidRDefault="000B2566">
              <w:pPr>
                <w:divId w:val="1611662465"/>
                <w:rPr>
                  <w:noProof/>
                  <w:lang w:val="en-US"/>
                </w:rPr>
              </w:pPr>
            </w:p>
            <w:p w:rsidR="00D67296" w:rsidRDefault="00D67296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D67296" w:rsidRPr="00D67296" w:rsidRDefault="00D67296" w:rsidP="00D67296">
      <w:pPr>
        <w:rPr>
          <w:lang w:val="en-US"/>
        </w:rPr>
      </w:pPr>
    </w:p>
    <w:sectPr w:rsidR="00D67296" w:rsidRPr="00D672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81D" w:rsidRDefault="007F481D">
      <w:r>
        <w:separator/>
      </w:r>
    </w:p>
  </w:endnote>
  <w:endnote w:type="continuationSeparator" w:id="0">
    <w:p w:rsidR="007F481D" w:rsidRDefault="007F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81D" w:rsidRDefault="007F481D">
      <w:r>
        <w:separator/>
      </w:r>
    </w:p>
  </w:footnote>
  <w:footnote w:type="continuationSeparator" w:id="0">
    <w:p w:rsidR="007F481D" w:rsidRDefault="007F481D">
      <w:r>
        <w:continuationSeparator/>
      </w:r>
    </w:p>
  </w:footnote>
  <w:footnote w:id="1">
    <w:p w:rsidR="00ED6F34" w:rsidRPr="00ED6F34" w:rsidRDefault="00ED6F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32959">
        <w:rPr>
          <w:sz w:val="18"/>
        </w:rPr>
        <w:t>https://julialang.org/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097FB1"/>
    <w:rsid w:val="000B2566"/>
    <w:rsid w:val="00114512"/>
    <w:rsid w:val="00137C54"/>
    <w:rsid w:val="00171AD7"/>
    <w:rsid w:val="0019271A"/>
    <w:rsid w:val="00195227"/>
    <w:rsid w:val="001B0C55"/>
    <w:rsid w:val="001B7539"/>
    <w:rsid w:val="001F5333"/>
    <w:rsid w:val="002014D3"/>
    <w:rsid w:val="00227125"/>
    <w:rsid w:val="00262FD5"/>
    <w:rsid w:val="00294121"/>
    <w:rsid w:val="002946B8"/>
    <w:rsid w:val="002B5C22"/>
    <w:rsid w:val="00350F98"/>
    <w:rsid w:val="00372E07"/>
    <w:rsid w:val="003B676F"/>
    <w:rsid w:val="003C28FE"/>
    <w:rsid w:val="003F19BF"/>
    <w:rsid w:val="004231A6"/>
    <w:rsid w:val="00483B87"/>
    <w:rsid w:val="005B1ADB"/>
    <w:rsid w:val="005E4D4F"/>
    <w:rsid w:val="00603186"/>
    <w:rsid w:val="00614AD2"/>
    <w:rsid w:val="00662525"/>
    <w:rsid w:val="006E7D3B"/>
    <w:rsid w:val="0070082C"/>
    <w:rsid w:val="007378C8"/>
    <w:rsid w:val="00741EC0"/>
    <w:rsid w:val="00772703"/>
    <w:rsid w:val="0078445B"/>
    <w:rsid w:val="007A4FFF"/>
    <w:rsid w:val="007E5B68"/>
    <w:rsid w:val="007F481D"/>
    <w:rsid w:val="00803917"/>
    <w:rsid w:val="00960E58"/>
    <w:rsid w:val="00991C6D"/>
    <w:rsid w:val="00A07737"/>
    <w:rsid w:val="00A156E4"/>
    <w:rsid w:val="00A33F95"/>
    <w:rsid w:val="00A6148D"/>
    <w:rsid w:val="00A816EF"/>
    <w:rsid w:val="00B347B3"/>
    <w:rsid w:val="00B653B4"/>
    <w:rsid w:val="00B8693E"/>
    <w:rsid w:val="00B96AB7"/>
    <w:rsid w:val="00BE0F09"/>
    <w:rsid w:val="00BE3E80"/>
    <w:rsid w:val="00BF05FA"/>
    <w:rsid w:val="00C909EA"/>
    <w:rsid w:val="00CA4CA8"/>
    <w:rsid w:val="00CA5A19"/>
    <w:rsid w:val="00CE1A70"/>
    <w:rsid w:val="00D03141"/>
    <w:rsid w:val="00D2724F"/>
    <w:rsid w:val="00D322BB"/>
    <w:rsid w:val="00D53E86"/>
    <w:rsid w:val="00D67296"/>
    <w:rsid w:val="00D736F8"/>
    <w:rsid w:val="00DF1E94"/>
    <w:rsid w:val="00E21AA3"/>
    <w:rsid w:val="00E520E6"/>
    <w:rsid w:val="00EA03D6"/>
    <w:rsid w:val="00EA615B"/>
    <w:rsid w:val="00ED46FB"/>
    <w:rsid w:val="00ED6F34"/>
    <w:rsid w:val="00F97508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80D43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296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le">
    <w:name w:val="Title"/>
    <w:basedOn w:val="Normal"/>
    <w:link w:val="TitleChar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NoList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Normal"/>
    <w:rsid w:val="002946B8"/>
    <w:rPr>
      <w:i/>
      <w:iCs/>
    </w:rPr>
  </w:style>
  <w:style w:type="character" w:customStyle="1" w:styleId="TitleChar">
    <w:name w:val="Title Char"/>
    <w:link w:val="Title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Normal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le"/>
    <w:rsid w:val="005E4D4F"/>
    <w:rPr>
      <w:rFonts w:cs="Arial"/>
    </w:rPr>
  </w:style>
  <w:style w:type="paragraph" w:customStyle="1" w:styleId="AutorenOrganisation">
    <w:name w:val="Autoren &amp; Organisation"/>
    <w:basedOn w:val="Normal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Normal"/>
    <w:rsid w:val="005E4D4F"/>
    <w:pPr>
      <w:ind w:left="284" w:hanging="284"/>
    </w:pPr>
    <w:rPr>
      <w:rFonts w:cs="Arial"/>
      <w:szCs w:val="20"/>
      <w:lang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614AD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72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D67296"/>
  </w:style>
  <w:style w:type="paragraph" w:styleId="FootnoteText">
    <w:name w:val="footnote text"/>
    <w:basedOn w:val="Normal"/>
    <w:link w:val="FootnoteTextChar"/>
    <w:uiPriority w:val="99"/>
    <w:semiHidden/>
    <w:unhideWhenUsed/>
    <w:rsid w:val="00ED6F3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6F34"/>
    <w:rPr>
      <w:rFonts w:ascii="Arial" w:hAnsi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FFG21</b:Tag>
    <b:SourceType>InternetSite</b:SourceType>
    <b:Guid>{58CC2B37-0BA2-4265-BA2E-265E2D4DD734}</b:Guid>
    <b:Title>Energiezelle „JOHANN“</b:Title>
    <b:Author>
      <b:Author>
        <b:Corporate>Green Energy Lab</b:Corporate>
      </b:Author>
    </b:Author>
    <b:ProductionCompany>GEL</b:ProductionCompany>
    <b:YearAccessed>2021</b:YearAccessed>
    <b:MonthAccessed>05</b:MonthAccessed>
    <b:URL>https://greenenergylab.at/projects/energiezelle-johann/</b:URL>
    <b:RefOrder>1</b:RefOrder>
  </b:Source>
  <b:Source>
    <b:Tag>JSc12</b:Tag>
    <b:SourceType>JournalArticle</b:SourceType>
    <b:Guid>{2BA09C58-C10F-4458-8518-88EB444A63F2}</b:Guid>
    <b:Title>Regional energy autarky: Potentials, costs and consequences for an Austrian region</b:Title>
    <b:Year>2012</b:Year>
    <b:Author>
      <b:Author>
        <b:NameList>
          <b:Person>
            <b:Last>Schmidt</b:Last>
            <b:First>J.</b:First>
          </b:Person>
          <b:Person>
            <b:Last>Schönhart</b:Last>
            <b:First>M.</b:First>
          </b:Person>
          <b:Person>
            <b:Last>Biberacher</b:Last>
            <b:First>M.</b:First>
          </b:Person>
          <b:Person>
            <b:Last>Guggenberger</b:Last>
            <b:First>T.</b:First>
          </b:Person>
          <b:Person>
            <b:Last>Hausl</b:Last>
            <b:First>S.</b:First>
          </b:Person>
          <b:Person>
            <b:Last>Kalt</b:Last>
            <b:First>G.</b:First>
          </b:Person>
          <b:Person>
            <b:Last>Leduc</b:Last>
            <b:First>S.</b:First>
          </b:Person>
          <b:Person>
            <b:Last>Schardinger</b:Last>
            <b:First>I.</b:First>
          </b:Person>
          <b:Person>
            <b:Last>Schmid</b:Last>
            <b:First>E.</b:First>
          </b:Person>
        </b:NameList>
      </b:Author>
    </b:Author>
    <b:JournalName>Energy Policy</b:JournalName>
    <b:Pages>211-221</b:Pages>
    <b:Volume>47</b:Volume>
    <b:Issue>0301-4215</b:Issue>
    <b:RefOrder>2</b:RefOrder>
  </b:Source>
</b:Sources>
</file>

<file path=customXml/itemProps1.xml><?xml version="1.0" encoding="utf-8"?>
<ds:datastoreItem xmlns:ds="http://schemas.openxmlformats.org/officeDocument/2006/customXml" ds:itemID="{C2002B3A-AD8E-4AC8-AB1B-17BC9B53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Titel</vt:lpstr>
      <vt:lpstr>Titel</vt:lpstr>
    </vt:vector>
  </TitlesOfParts>
  <Company>TU-Wien Campuslizenz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Frida Revheim</cp:lastModifiedBy>
  <cp:revision>31</cp:revision>
  <dcterms:created xsi:type="dcterms:W3CDTF">2021-05-22T16:59:00Z</dcterms:created>
  <dcterms:modified xsi:type="dcterms:W3CDTF">2021-05-30T07:38:00Z</dcterms:modified>
</cp:coreProperties>
</file>