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76209" w14:textId="77777777" w:rsidR="005E4D4F" w:rsidRPr="005E4D4F" w:rsidRDefault="00BD5FB4" w:rsidP="00131E3D">
      <w:pPr>
        <w:pStyle w:val="Abstract-Titel"/>
      </w:pPr>
      <w:r w:rsidRPr="00BD5FB4">
        <w:t>Die Strategien österr</w:t>
      </w:r>
      <w:r>
        <w:t xml:space="preserve">eichischer </w:t>
      </w:r>
      <w:r w:rsidR="004207CC">
        <w:t>Unternehmen</w:t>
      </w:r>
      <w:r w:rsidRPr="00BD5FB4">
        <w:t xml:space="preserve"> für Mitigation </w:t>
      </w:r>
      <w:r w:rsidR="004207CC">
        <w:t>und</w:t>
      </w:r>
      <w:r w:rsidRPr="00BD5FB4">
        <w:t xml:space="preserve"> Handel mit Emissionszertifikaten</w:t>
      </w:r>
    </w:p>
    <w:p w14:paraId="1B78BE20" w14:textId="77777777" w:rsidR="00BF05FA" w:rsidRDefault="00BF05FA" w:rsidP="00A156E4">
      <w:pPr>
        <w:pStyle w:val="AutorenOrganisation"/>
      </w:pPr>
      <w:r>
        <w:t>Themenbereich</w:t>
      </w:r>
      <w:r w:rsidR="00224EB9">
        <w:t xml:space="preserve"> 1</w:t>
      </w:r>
    </w:p>
    <w:p w14:paraId="022296B7" w14:textId="77777777" w:rsidR="005E4D4F" w:rsidRPr="005E4D4F" w:rsidRDefault="00224EB9" w:rsidP="00A156E4">
      <w:pPr>
        <w:pStyle w:val="AutorenOrganisation"/>
      </w:pPr>
      <w:r>
        <w:t>Claudia</w:t>
      </w:r>
      <w:r w:rsidR="005E4D4F" w:rsidRPr="005E4D4F">
        <w:t xml:space="preserve"> </w:t>
      </w:r>
      <w:r>
        <w:t>KETTNER</w:t>
      </w:r>
      <w:r w:rsidR="005E4D4F" w:rsidRPr="00010E92">
        <w:rPr>
          <w:vertAlign w:val="superscript"/>
        </w:rPr>
        <w:footnoteReference w:id="1"/>
      </w:r>
      <w:r w:rsidR="00A156E4" w:rsidRPr="00A156E4">
        <w:rPr>
          <w:vertAlign w:val="superscript"/>
        </w:rPr>
        <w:t>(1</w:t>
      </w:r>
      <w:r w:rsidR="00A156E4">
        <w:rPr>
          <w:vertAlign w:val="superscript"/>
        </w:rPr>
        <w:t>)</w:t>
      </w:r>
      <w:r w:rsidR="005E4D4F" w:rsidRPr="005E4D4F">
        <w:t xml:space="preserve">, </w:t>
      </w:r>
      <w:r>
        <w:t>Daniela KLETZAN-SLAMANIG</w:t>
      </w:r>
      <w:r w:rsidR="00A156E4" w:rsidRPr="00A156E4">
        <w:rPr>
          <w:vertAlign w:val="superscript"/>
        </w:rPr>
        <w:t>(</w:t>
      </w:r>
      <w:r>
        <w:rPr>
          <w:vertAlign w:val="superscript"/>
        </w:rPr>
        <w:t>1</w:t>
      </w:r>
      <w:r w:rsidR="00A156E4">
        <w:rPr>
          <w:vertAlign w:val="superscript"/>
        </w:rPr>
        <w:t>)</w:t>
      </w:r>
    </w:p>
    <w:p w14:paraId="03FC89BB" w14:textId="77777777" w:rsidR="005E4D4F" w:rsidRDefault="00A156E4" w:rsidP="005E4D4F">
      <w:pPr>
        <w:pStyle w:val="AutorenOrganisation"/>
      </w:pPr>
      <w:r>
        <w:rPr>
          <w:vertAlign w:val="superscript"/>
        </w:rPr>
        <w:t>(</w:t>
      </w:r>
      <w:r w:rsidR="00010E92" w:rsidRPr="00010E92">
        <w:rPr>
          <w:vertAlign w:val="superscript"/>
        </w:rPr>
        <w:t>1</w:t>
      </w:r>
      <w:r>
        <w:rPr>
          <w:vertAlign w:val="superscript"/>
        </w:rPr>
        <w:t>)</w:t>
      </w:r>
      <w:r w:rsidR="00131E3D">
        <w:rPr>
          <w:vertAlign w:val="superscript"/>
        </w:rPr>
        <w:t xml:space="preserve"> </w:t>
      </w:r>
      <w:r w:rsidR="00224EB9">
        <w:t>Österreichisches Institut für Wirtschaftsforschung (WIFO)</w:t>
      </w:r>
    </w:p>
    <w:p w14:paraId="0A3C749A" w14:textId="77777777" w:rsidR="00A07737" w:rsidRPr="005E4D4F" w:rsidRDefault="00A07737" w:rsidP="00FB69AE">
      <w:pPr>
        <w:rPr>
          <w:lang w:val="de-AT"/>
        </w:rPr>
      </w:pPr>
    </w:p>
    <w:p w14:paraId="4C51DBC0" w14:textId="77777777" w:rsidR="005E4D4F" w:rsidRPr="005E4D4F" w:rsidRDefault="005E4D4F" w:rsidP="005E4D4F">
      <w:pPr>
        <w:pStyle w:val="Ueberschrift"/>
      </w:pPr>
      <w:r w:rsidRPr="005E4D4F">
        <w:t>Motivation und zentrale Fragestellung</w:t>
      </w:r>
    </w:p>
    <w:p w14:paraId="17A4C440" w14:textId="636716CF" w:rsidR="005E4D4F" w:rsidRDefault="00224EB9" w:rsidP="00227125">
      <w:r w:rsidRPr="00224EB9">
        <w:t xml:space="preserve">Das EU Emissionshandelssystem (EU ETS) ist ein Schlüsselinstrument der EU Klimapolitik. Seit Einführung des EU ETS im Jahr 2005 wurde seine Glaubwürdigkeit jedoch durch einen anhaltenden Überschuss an Emissionszertifikaten in Frage gestellt, </w:t>
      </w:r>
      <w:r w:rsidR="00CB50A3">
        <w:t>und in Folge</w:t>
      </w:r>
      <w:r w:rsidRPr="00224EB9">
        <w:t xml:space="preserve"> zahlreiche Änderungen des EU ETS vorgenommen.</w:t>
      </w:r>
    </w:p>
    <w:p w14:paraId="2709786F" w14:textId="77777777" w:rsidR="00CB50A3" w:rsidRDefault="004207CC" w:rsidP="00227125">
      <w:r>
        <w:t>Vor diesem Hintergrund</w:t>
      </w:r>
      <w:r w:rsidRPr="004207CC">
        <w:t xml:space="preserve"> liegt</w:t>
      </w:r>
      <w:r w:rsidR="00CB50A3">
        <w:t xml:space="preserve"> der Fokus</w:t>
      </w:r>
      <w:r w:rsidRPr="004207CC">
        <w:t xml:space="preserve"> auf </w:t>
      </w:r>
      <w:r>
        <w:t>den folgenden</w:t>
      </w:r>
      <w:r w:rsidRPr="004207CC">
        <w:t xml:space="preserve"> Forschungsfragen: </w:t>
      </w:r>
    </w:p>
    <w:p w14:paraId="315E021B" w14:textId="60046430" w:rsidR="00CB50A3" w:rsidRPr="00CB50A3" w:rsidRDefault="004207CC" w:rsidP="00CB50A3">
      <w:pPr>
        <w:numPr>
          <w:ilvl w:val="0"/>
          <w:numId w:val="3"/>
        </w:numPr>
      </w:pPr>
      <w:r w:rsidRPr="00CB50A3">
        <w:t xml:space="preserve">Hat das EU ETS trotz des </w:t>
      </w:r>
      <w:r w:rsidR="00CB50A3">
        <w:t>Zertifikatsü</w:t>
      </w:r>
      <w:r w:rsidRPr="00CB50A3">
        <w:t xml:space="preserve">berschusses und niedrigen Preisen </w:t>
      </w:r>
      <w:r w:rsidR="00CB50A3">
        <w:t>Emissionsreduktionsmaßnahmen induziert</w:t>
      </w:r>
      <w:r w:rsidRPr="00CB50A3">
        <w:t xml:space="preserve"> und nehmen die Unternehmen im Lauf der Zeit eine Änderung der Anreize durch das ETS wahr? </w:t>
      </w:r>
    </w:p>
    <w:p w14:paraId="7E83A018" w14:textId="77777777" w:rsidR="004207CC" w:rsidRPr="00CB50A3" w:rsidRDefault="004207CC" w:rsidP="00CB50A3">
      <w:pPr>
        <w:numPr>
          <w:ilvl w:val="0"/>
          <w:numId w:val="3"/>
        </w:numPr>
      </w:pPr>
      <w:r w:rsidRPr="00CB50A3">
        <w:t>In welcher Form haben die Unternehmen am Handel mit Zertifikaten teilgenommen und hat sich ihr Handelsverhalten seit 2005 verändert?</w:t>
      </w:r>
    </w:p>
    <w:p w14:paraId="1AA1B434" w14:textId="77777777" w:rsidR="00224EB9" w:rsidRDefault="00224EB9" w:rsidP="00227125"/>
    <w:p w14:paraId="488AEF8E" w14:textId="77777777" w:rsidR="005E4D4F" w:rsidRPr="005E4D4F" w:rsidRDefault="005E4D4F" w:rsidP="005E4D4F">
      <w:pPr>
        <w:pStyle w:val="Ueberschrift"/>
      </w:pPr>
      <w:r w:rsidRPr="005E4D4F">
        <w:t>Methodische Vorgangsweise</w:t>
      </w:r>
    </w:p>
    <w:p w14:paraId="5E8A7B6F" w14:textId="238461FA" w:rsidR="00E51742" w:rsidRDefault="005D6AFF" w:rsidP="00227125">
      <w:r>
        <w:t xml:space="preserve">Um diese </w:t>
      </w:r>
      <w:r w:rsidR="00E51742">
        <w:t>Forschungsfragen</w:t>
      </w:r>
      <w:r>
        <w:t xml:space="preserve"> zu beantworten werden die </w:t>
      </w:r>
      <w:r w:rsidR="00CB50A3" w:rsidRPr="004207CC">
        <w:t>Emissionsreduktions- und Handelsaktivitäten der österreichischen Teilnehmer am EU ETS analysier</w:t>
      </w:r>
      <w:r w:rsidR="00E51742">
        <w:t>t</w:t>
      </w:r>
      <w:r w:rsidR="00CB50A3" w:rsidRPr="004207CC">
        <w:t xml:space="preserve">, differenziert nach Branchen, Anlagen- und Betriebsgröße. </w:t>
      </w:r>
      <w:r w:rsidR="00E51742">
        <w:t>Dazu wird</w:t>
      </w:r>
      <w:r w:rsidR="00131E3D" w:rsidRPr="00131E3D">
        <w:t xml:space="preserve"> eine Datenanalyse mit einer Umfrage unter den </w:t>
      </w:r>
      <w:r w:rsidR="00762DA6">
        <w:t xml:space="preserve">in Österreich </w:t>
      </w:r>
      <w:r w:rsidR="00131E3D" w:rsidRPr="00131E3D">
        <w:t xml:space="preserve">vom EU ETS erfassten Unternehmen kombiniert. </w:t>
      </w:r>
    </w:p>
    <w:p w14:paraId="01AE3B21" w14:textId="5C4733EA" w:rsidR="00E51742" w:rsidRDefault="00131E3D" w:rsidP="00227125">
      <w:r w:rsidRPr="00131E3D">
        <w:t xml:space="preserve">Im </w:t>
      </w:r>
      <w:r w:rsidR="00E51742">
        <w:t>Europäischen Emissionshandelsregister [</w:t>
      </w:r>
      <w:r w:rsidR="003909DD">
        <w:t>1</w:t>
      </w:r>
      <w:r w:rsidR="00E51742">
        <w:t>]</w:t>
      </w:r>
      <w:r w:rsidRPr="00131E3D">
        <w:t xml:space="preserve"> auf Anlagenbasis verfügbare Daten zu zugeteilten Zertifikaten, verifizierten Emissionen und Transaktionen mit Emissionszertifikaten werden mit Unternehmensdaten aus der AMADEUS-Datenbank</w:t>
      </w:r>
      <w:r w:rsidR="00E51742">
        <w:t xml:space="preserve"> [</w:t>
      </w:r>
      <w:r w:rsidR="003909DD">
        <w:t>2</w:t>
      </w:r>
      <w:r w:rsidR="00E51742">
        <w:t>]</w:t>
      </w:r>
      <w:r w:rsidRPr="00131E3D">
        <w:t xml:space="preserve"> verknüpft, um Informationen über den Hintergrund der Unternehmen (z.B. Wertschöpfung, Beschäftigung) zu erhalten. Dies ermöglicht eine umfassende Analyse der Handelsströme sowie der Nettoknappheiten und -überschüsse an Zertifikaten auf Anlagen- und Firmenebene, die sowohl Vermeidungs- als auch Handelsaktivitäten beeinflusst haben könnten. </w:t>
      </w:r>
    </w:p>
    <w:p w14:paraId="141F0063" w14:textId="13F80BBE" w:rsidR="005E4D4F" w:rsidRPr="005E4D4F" w:rsidRDefault="003909DD" w:rsidP="00227125">
      <w:r>
        <w:t>Die Umfrage wurde im ersten und zweiten Quartal 2021 durchgeführt und liefert ergänzende Informationen zur quantitativen Analyse in beiden Themenbereichen</w:t>
      </w:r>
      <w:r w:rsidR="00131E3D" w:rsidRPr="00131E3D">
        <w:t xml:space="preserve">, d.h. </w:t>
      </w:r>
      <w:r>
        <w:t>zu den</w:t>
      </w:r>
      <w:r w:rsidR="00131E3D" w:rsidRPr="00131E3D">
        <w:t xml:space="preserve"> </w:t>
      </w:r>
      <w:r w:rsidR="00762DA6">
        <w:t>in den letzten Jahren durchgeführten</w:t>
      </w:r>
      <w:r w:rsidR="00131E3D" w:rsidRPr="00131E3D">
        <w:t xml:space="preserve"> Emissions</w:t>
      </w:r>
      <w:r w:rsidR="00E51742">
        <w:t>reduktion</w:t>
      </w:r>
      <w:r w:rsidR="00131E3D" w:rsidRPr="00131E3D">
        <w:t>saktivitäten</w:t>
      </w:r>
      <w:r w:rsidR="00762DA6">
        <w:t>, welche Rolle dabei den Anreizen aus dem EU ETS</w:t>
      </w:r>
      <w:r w:rsidR="00131E3D" w:rsidRPr="00131E3D">
        <w:t xml:space="preserve"> </w:t>
      </w:r>
      <w:r w:rsidR="00762DA6">
        <w:t xml:space="preserve">zukam </w:t>
      </w:r>
      <w:r w:rsidR="00131E3D" w:rsidRPr="00131E3D">
        <w:t xml:space="preserve">und </w:t>
      </w:r>
      <w:r w:rsidR="00762DA6">
        <w:t xml:space="preserve">den </w:t>
      </w:r>
      <w:r w:rsidR="00131E3D" w:rsidRPr="00131E3D">
        <w:t>Marktaktivitäten</w:t>
      </w:r>
      <w:r w:rsidR="00762DA6" w:rsidRPr="00762DA6">
        <w:t xml:space="preserve"> </w:t>
      </w:r>
      <w:r w:rsidR="00762DA6" w:rsidRPr="00131E3D">
        <w:t>österreichischer Unternehmen</w:t>
      </w:r>
      <w:r w:rsidR="00131E3D" w:rsidRPr="00131E3D">
        <w:t xml:space="preserve">. </w:t>
      </w:r>
    </w:p>
    <w:p w14:paraId="045E8D91" w14:textId="77777777" w:rsidR="005E4D4F" w:rsidRPr="005E4D4F" w:rsidRDefault="005E4D4F" w:rsidP="005E4D4F">
      <w:pPr>
        <w:pStyle w:val="Ueberschrift"/>
      </w:pPr>
      <w:r w:rsidRPr="005E4D4F">
        <w:t>Ergebnisse und Schlussfolgerungen</w:t>
      </w:r>
    </w:p>
    <w:p w14:paraId="04691BE2" w14:textId="32F2312D" w:rsidR="004207CC" w:rsidRPr="005E4D4F" w:rsidRDefault="003909DD" w:rsidP="00227125">
      <w:r>
        <w:t>Die quantitative Analyse sowie die Auswertung der Umfrage sind noch nicht abgeschlossen. Erste Ergebnisse zeigen jedoch deutlich, dass d</w:t>
      </w:r>
      <w:r w:rsidR="00B65D4B">
        <w:t>ie Zertifikatstransfers österreichischer Unternehmen zwischen der ersten Handelsphase und der dritten Handelsphase deutlich zugenommen haben; das gilt sowohl für Transfers zwischen österreichischen Anlagen als auch für Transfers zwischen österreichischen Anlagen und Marktteilnehmern in anderen Ländern (</w:t>
      </w:r>
      <w:r w:rsidR="00115334">
        <w:t xml:space="preserve">s. </w:t>
      </w:r>
      <w:r w:rsidR="00B65D4B">
        <w:t xml:space="preserve">Abbildung 1). </w:t>
      </w:r>
    </w:p>
    <w:p w14:paraId="1A816E80" w14:textId="2DE7388A" w:rsidR="00803917" w:rsidRDefault="00EF0C8C" w:rsidP="00227125">
      <w:r>
        <w:t>Als wichtige</w:t>
      </w:r>
      <w:r w:rsidR="00115334">
        <w:t>s</w:t>
      </w:r>
      <w:r>
        <w:t xml:space="preserve"> Motiv für den Handel von Zertifikaten gaben die meisten österreichischen Unternehmen </w:t>
      </w:r>
      <w:r w:rsidR="0015092A">
        <w:t xml:space="preserve">(80%) </w:t>
      </w:r>
      <w:r>
        <w:t xml:space="preserve">die Erfüllung von </w:t>
      </w:r>
      <w:r w:rsidR="0015092A">
        <w:t>Emissions</w:t>
      </w:r>
      <w:r>
        <w:t>vorgaben</w:t>
      </w:r>
      <w:r w:rsidR="00762DA6">
        <w:t xml:space="preserve"> an</w:t>
      </w:r>
      <w:r w:rsidR="0015092A">
        <w:t>, aber auch Risikominimierung und Gewinnoptimierung spielten für jeweils mehr als 40% der Unternehmen eine wichtige Rolle. Insbesondere die Compliance im EU ETS sowie das Risikomanagement haben seit der ersten Handelsphase an Bedeutung gewonnen.</w:t>
      </w:r>
    </w:p>
    <w:p w14:paraId="5A0F9D27" w14:textId="7154B17F" w:rsidR="00115334" w:rsidRDefault="00115334" w:rsidP="00115334">
      <w:r>
        <w:t xml:space="preserve">Wie Zaklan [3] gezeigt hat, spiegelt die Teilnahme von Unternehmen am </w:t>
      </w:r>
      <w:r w:rsidR="000678D6">
        <w:t>Zertifikatsh</w:t>
      </w:r>
      <w:r>
        <w:t>andel nicht nur ETS-spezifische Faktoren (d.h. einen Überschuss oder einen Mangel an Zertifikaten), sondern firmenspezifische Merkmale (z.B. Firmengröße, Eigentümerstruktur)</w:t>
      </w:r>
      <w:r w:rsidR="000678D6">
        <w:t xml:space="preserve"> wider</w:t>
      </w:r>
      <w:r>
        <w:t xml:space="preserve">. Auch Such- und Informationskosten hatten einen starken Einfluss auf die Handelsentscheidungen von Unternehmen, kleinere Unternehmen haben tendenziell weniger gehandelt [4]. Obwohl das EU-ETS weit davon entfernt ist, ein perfekter Markt zu sein, hat die Handelsaktivität </w:t>
      </w:r>
      <w:r w:rsidR="00762DA6">
        <w:t xml:space="preserve">seit </w:t>
      </w:r>
      <w:r w:rsidR="00EE07B1">
        <w:t>Phase 1</w:t>
      </w:r>
      <w:r w:rsidR="00EE07B1">
        <w:t xml:space="preserve"> </w:t>
      </w:r>
      <w:r>
        <w:t>stark zugenommen [5], was darauf hindeutet, dass sich die Akteure zunehmend an den Markt gewöhnt haben und die Transaktionskosten entsprechend gefallen sind.</w:t>
      </w:r>
    </w:p>
    <w:p w14:paraId="240CC69F" w14:textId="77777777" w:rsidR="00115334" w:rsidRDefault="00115334" w:rsidP="00115334"/>
    <w:p w14:paraId="7E257631" w14:textId="7729CF65" w:rsidR="00115334" w:rsidRDefault="00115334" w:rsidP="00115334"/>
    <w:tbl>
      <w:tblPr>
        <w:tblW w:w="0" w:type="auto"/>
        <w:tblCellMar>
          <w:left w:w="70" w:type="dxa"/>
          <w:right w:w="70" w:type="dxa"/>
        </w:tblCellMar>
        <w:tblLook w:val="0000" w:firstRow="0" w:lastRow="0" w:firstColumn="0" w:lastColumn="0" w:noHBand="0" w:noVBand="0"/>
      </w:tblPr>
      <w:tblGrid>
        <w:gridCol w:w="4536"/>
        <w:gridCol w:w="4536"/>
      </w:tblGrid>
      <w:tr w:rsidR="005B6E5C" w14:paraId="6F866CE4" w14:textId="77777777">
        <w:tc>
          <w:tcPr>
            <w:tcW w:w="4536" w:type="dxa"/>
          </w:tcPr>
          <w:p w14:paraId="5419F98A" w14:textId="215694BD" w:rsidR="005B6E5C" w:rsidRDefault="005B6E5C" w:rsidP="00227125">
            <w:r>
              <w:rPr>
                <w:noProof/>
              </w:rPr>
              <w:drawing>
                <wp:inline distT="0" distB="0" distL="0" distR="0" wp14:anchorId="1194ECC2" wp14:editId="5F08BAA8">
                  <wp:extent cx="2844000" cy="1901418"/>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000" cy="1901418"/>
                          </a:xfrm>
                          <a:prstGeom prst="rect">
                            <a:avLst/>
                          </a:prstGeom>
                        </pic:spPr>
                      </pic:pic>
                    </a:graphicData>
                  </a:graphic>
                </wp:inline>
              </w:drawing>
            </w:r>
          </w:p>
        </w:tc>
        <w:tc>
          <w:tcPr>
            <w:tcW w:w="4536" w:type="dxa"/>
          </w:tcPr>
          <w:p w14:paraId="0387103B" w14:textId="2C52FFDA" w:rsidR="005B6E5C" w:rsidRDefault="005B6E5C" w:rsidP="00227125">
            <w:r>
              <w:rPr>
                <w:noProof/>
              </w:rPr>
              <w:drawing>
                <wp:inline distT="0" distB="0" distL="0" distR="0" wp14:anchorId="072E2B8F" wp14:editId="71588862">
                  <wp:extent cx="2844000" cy="1901956"/>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4000" cy="1901956"/>
                          </a:xfrm>
                          <a:prstGeom prst="rect">
                            <a:avLst/>
                          </a:prstGeom>
                        </pic:spPr>
                      </pic:pic>
                    </a:graphicData>
                  </a:graphic>
                </wp:inline>
              </w:drawing>
            </w:r>
          </w:p>
        </w:tc>
      </w:tr>
      <w:tr w:rsidR="005B6E5C" w14:paraId="26F956F4" w14:textId="77777777">
        <w:tc>
          <w:tcPr>
            <w:tcW w:w="4536" w:type="dxa"/>
          </w:tcPr>
          <w:p w14:paraId="4944A47A" w14:textId="500938BB" w:rsidR="005B6E5C" w:rsidRPr="00EE07B1" w:rsidRDefault="005B6E5C" w:rsidP="00227125">
            <w:pPr>
              <w:rPr>
                <w:noProof/>
              </w:rPr>
            </w:pPr>
            <w:r w:rsidRPr="00EE07B1">
              <w:rPr>
                <w:noProof/>
              </w:rPr>
              <w:t>(a) Interne Transfers in Phase 1</w:t>
            </w:r>
          </w:p>
        </w:tc>
        <w:tc>
          <w:tcPr>
            <w:tcW w:w="4536" w:type="dxa"/>
          </w:tcPr>
          <w:p w14:paraId="6966C751" w14:textId="735401C3" w:rsidR="005B6E5C" w:rsidRDefault="005B6E5C" w:rsidP="00227125">
            <w:pPr>
              <w:rPr>
                <w:noProof/>
              </w:rPr>
            </w:pPr>
            <w:r>
              <w:rPr>
                <w:noProof/>
              </w:rPr>
              <w:t>(b) Interne Transfers in Phase 3</w:t>
            </w:r>
          </w:p>
        </w:tc>
      </w:tr>
      <w:tr w:rsidR="005B6E5C" w14:paraId="53B9059F" w14:textId="77777777">
        <w:tc>
          <w:tcPr>
            <w:tcW w:w="4536" w:type="dxa"/>
          </w:tcPr>
          <w:p w14:paraId="1FFA2CAC" w14:textId="77B07BE9" w:rsidR="005B6E5C" w:rsidRDefault="005B6E5C" w:rsidP="00227125">
            <w:pPr>
              <w:rPr>
                <w:noProof/>
              </w:rPr>
            </w:pPr>
            <w:r>
              <w:rPr>
                <w:noProof/>
              </w:rPr>
              <w:drawing>
                <wp:inline distT="0" distB="0" distL="0" distR="0" wp14:anchorId="488E8790" wp14:editId="734462E6">
                  <wp:extent cx="2844000" cy="1901956"/>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4000" cy="1901956"/>
                          </a:xfrm>
                          <a:prstGeom prst="rect">
                            <a:avLst/>
                          </a:prstGeom>
                        </pic:spPr>
                      </pic:pic>
                    </a:graphicData>
                  </a:graphic>
                </wp:inline>
              </w:drawing>
            </w:r>
          </w:p>
        </w:tc>
        <w:tc>
          <w:tcPr>
            <w:tcW w:w="4536" w:type="dxa"/>
          </w:tcPr>
          <w:p w14:paraId="5B908E89" w14:textId="1F03B4EB" w:rsidR="005B6E5C" w:rsidRDefault="005B6E5C" w:rsidP="00227125">
            <w:pPr>
              <w:rPr>
                <w:noProof/>
              </w:rPr>
            </w:pPr>
            <w:r>
              <w:rPr>
                <w:noProof/>
              </w:rPr>
              <w:drawing>
                <wp:inline distT="0" distB="0" distL="0" distR="0" wp14:anchorId="6C406E3D" wp14:editId="5DCBB3BA">
                  <wp:extent cx="2844000" cy="1901956"/>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4000" cy="1901956"/>
                          </a:xfrm>
                          <a:prstGeom prst="rect">
                            <a:avLst/>
                          </a:prstGeom>
                        </pic:spPr>
                      </pic:pic>
                    </a:graphicData>
                  </a:graphic>
                </wp:inline>
              </w:drawing>
            </w:r>
          </w:p>
        </w:tc>
      </w:tr>
      <w:tr w:rsidR="005B6E5C" w14:paraId="6C6EFA8E" w14:textId="77777777">
        <w:tc>
          <w:tcPr>
            <w:tcW w:w="4536" w:type="dxa"/>
          </w:tcPr>
          <w:p w14:paraId="130C4F48" w14:textId="6C5129C2" w:rsidR="005B6E5C" w:rsidRDefault="005B6E5C" w:rsidP="005B6E5C">
            <w:pPr>
              <w:spacing w:after="120"/>
            </w:pPr>
            <w:r>
              <w:t>(c) Externe Transfers in Phase 1</w:t>
            </w:r>
          </w:p>
        </w:tc>
        <w:tc>
          <w:tcPr>
            <w:tcW w:w="4536" w:type="dxa"/>
          </w:tcPr>
          <w:p w14:paraId="5A4A38B9" w14:textId="6219FC54" w:rsidR="005B6E5C" w:rsidRDefault="005B6E5C" w:rsidP="005B6E5C">
            <w:pPr>
              <w:spacing w:after="120"/>
            </w:pPr>
            <w:r>
              <w:t>(d) Externe Transfers in Phase 3</w:t>
            </w:r>
          </w:p>
        </w:tc>
      </w:tr>
    </w:tbl>
    <w:p w14:paraId="7884116A" w14:textId="2917B4E1" w:rsidR="0053564B" w:rsidRDefault="0053564B" w:rsidP="0053564B">
      <w:pPr>
        <w:pStyle w:val="Abbildungsbeschriftung"/>
      </w:pPr>
      <w:r w:rsidRPr="002946B8">
        <w:t xml:space="preserve">Abbildung 1: </w:t>
      </w:r>
      <w:r w:rsidR="003909DD">
        <w:t>Transfers von Zertifikaten österreichischer EU ETS Teilnehmer</w:t>
      </w:r>
    </w:p>
    <w:p w14:paraId="7505AF72" w14:textId="77777777" w:rsidR="0053564B" w:rsidRPr="002946B8" w:rsidRDefault="0053564B" w:rsidP="0053564B">
      <w:pPr>
        <w:pStyle w:val="Abbildungsbeschriftung"/>
      </w:pPr>
    </w:p>
    <w:p w14:paraId="4C137EE6" w14:textId="77777777" w:rsidR="00DF4D1C" w:rsidRDefault="00DF4D1C" w:rsidP="00A156E4">
      <w:pPr>
        <w:pStyle w:val="Ueberschrift"/>
      </w:pPr>
      <w:bookmarkStart w:id="0" w:name="_Toc26086066"/>
      <w:bookmarkStart w:id="1" w:name="_Toc68418491"/>
    </w:p>
    <w:p w14:paraId="22FC8B7C" w14:textId="4482416F" w:rsidR="00DF4D1C" w:rsidRPr="00DF4D1C" w:rsidRDefault="00EE07B1" w:rsidP="00A156E4">
      <w:pPr>
        <w:pStyle w:val="Ueberschrift"/>
        <w:rPr>
          <w:b w:val="0"/>
          <w:bCs/>
          <w:i/>
          <w:iCs/>
        </w:rPr>
      </w:pPr>
      <w:r w:rsidRPr="00EE07B1">
        <w:rPr>
          <w:b w:val="0"/>
          <w:bCs/>
          <w:i/>
          <w:iCs/>
        </w:rPr>
        <w:t xml:space="preserve">Die Ergebnisse stammen aus dem Forschungsprojekt </w:t>
      </w:r>
      <w:r>
        <w:rPr>
          <w:b w:val="0"/>
          <w:bCs/>
          <w:i/>
          <w:iCs/>
        </w:rPr>
        <w:t>SAFE</w:t>
      </w:r>
      <w:r w:rsidRPr="00EE07B1">
        <w:rPr>
          <w:b w:val="0"/>
          <w:bCs/>
          <w:i/>
          <w:iCs/>
        </w:rPr>
        <w:t xml:space="preserve">, das vom Jubiläumsfonds der Oesterreichischen Nationalbank (OeNB) gefördert wurde (Projektnummer </w:t>
      </w:r>
      <w:r w:rsidR="00271D85">
        <w:rPr>
          <w:b w:val="0"/>
          <w:bCs/>
          <w:i/>
          <w:iCs/>
        </w:rPr>
        <w:t>13812</w:t>
      </w:r>
      <w:r w:rsidRPr="00EE07B1">
        <w:rPr>
          <w:b w:val="0"/>
          <w:bCs/>
          <w:i/>
          <w:iCs/>
        </w:rPr>
        <w:t>)</w:t>
      </w:r>
      <w:r w:rsidR="00DF4D1C" w:rsidRPr="00DF4D1C">
        <w:rPr>
          <w:b w:val="0"/>
          <w:bCs/>
          <w:i/>
          <w:iCs/>
        </w:rPr>
        <w:t xml:space="preserve">. </w:t>
      </w:r>
    </w:p>
    <w:p w14:paraId="3E7CFEA8" w14:textId="77777777" w:rsidR="00DF4D1C" w:rsidRDefault="00DF4D1C" w:rsidP="00A156E4">
      <w:pPr>
        <w:pStyle w:val="Ueberschrift"/>
      </w:pPr>
    </w:p>
    <w:p w14:paraId="6DDBE8F0" w14:textId="4D7FE4E5" w:rsidR="005E4D4F" w:rsidRPr="00762DA6" w:rsidRDefault="005E4D4F" w:rsidP="00A156E4">
      <w:pPr>
        <w:pStyle w:val="Ueberschrift"/>
      </w:pPr>
      <w:r w:rsidRPr="00762DA6">
        <w:t>Literatur</w:t>
      </w:r>
      <w:bookmarkEnd w:id="0"/>
      <w:bookmarkEnd w:id="1"/>
    </w:p>
    <w:p w14:paraId="28842AA3" w14:textId="026C78DC" w:rsidR="005E4D4F" w:rsidRPr="00762DA6" w:rsidRDefault="00483B87" w:rsidP="0015092A">
      <w:pPr>
        <w:pStyle w:val="Literatur"/>
      </w:pPr>
      <w:r w:rsidRPr="00762DA6">
        <w:t>[1]</w:t>
      </w:r>
      <w:r w:rsidRPr="00762DA6">
        <w:tab/>
      </w:r>
      <w:r w:rsidR="0015092A" w:rsidRPr="00762DA6">
        <w:t>EUTL</w:t>
      </w:r>
      <w:r w:rsidR="00DF4D1C" w:rsidRPr="00762DA6">
        <w:t>.</w:t>
      </w:r>
      <w:r w:rsidR="0015092A" w:rsidRPr="00762DA6">
        <w:t xml:space="preserve"> European Union Transaction Log</w:t>
      </w:r>
      <w:r w:rsidR="00DF4D1C" w:rsidRPr="00762DA6">
        <w:t>.</w:t>
      </w:r>
      <w:r w:rsidR="0015092A" w:rsidRPr="00762DA6">
        <w:t xml:space="preserve"> http://ec.europa.eu/environment/ets/welcome.do</w:t>
      </w:r>
    </w:p>
    <w:p w14:paraId="716474F8" w14:textId="4A57197F" w:rsidR="00010E92" w:rsidRPr="00762DA6" w:rsidRDefault="00483B87" w:rsidP="00227125">
      <w:pPr>
        <w:pStyle w:val="Literatur"/>
      </w:pPr>
      <w:r w:rsidRPr="00762DA6">
        <w:t>[2]</w:t>
      </w:r>
      <w:r w:rsidRPr="00762DA6">
        <w:tab/>
      </w:r>
      <w:r w:rsidR="00DF4D1C" w:rsidRPr="00762DA6">
        <w:t xml:space="preserve">Bureau van Dijk (BvD). AMADEUS Datenbank. https://amadeus.bvdinfo.com/ </w:t>
      </w:r>
    </w:p>
    <w:p w14:paraId="7DAF7CF9" w14:textId="5D2AC5AA" w:rsidR="00DF4D1C" w:rsidRDefault="00DF4D1C" w:rsidP="00227125">
      <w:pPr>
        <w:pStyle w:val="Literatur"/>
      </w:pPr>
      <w:r w:rsidRPr="00762DA6">
        <w:t>[3]</w:t>
      </w:r>
      <w:r w:rsidRPr="00762DA6">
        <w:tab/>
      </w:r>
      <w:r w:rsidR="00115334" w:rsidRPr="00762DA6">
        <w:t xml:space="preserve">Zaklan, A. (2013). Why do emitters trade carbon permits? Firm-level evidence from the European Emission Trading Scheme. </w:t>
      </w:r>
      <w:r w:rsidR="00115334" w:rsidRPr="00115334">
        <w:t>DIW Berlin Discussion Paper No. 1275</w:t>
      </w:r>
      <w:r w:rsidR="00115334">
        <w:t>.</w:t>
      </w:r>
    </w:p>
    <w:p w14:paraId="7187B6D1" w14:textId="55BB95F8" w:rsidR="00DF4D1C" w:rsidRPr="00762DA6" w:rsidRDefault="00DF4D1C" w:rsidP="00DF4D1C">
      <w:pPr>
        <w:pStyle w:val="Literatur"/>
      </w:pPr>
      <w:r>
        <w:t>[4]</w:t>
      </w:r>
      <w:r>
        <w:tab/>
      </w:r>
      <w:r w:rsidR="00115334">
        <w:t xml:space="preserve">Jaraitė-Kažukauskė, J., &amp; Kažukauskas, A. (2015). </w:t>
      </w:r>
      <w:r w:rsidR="00115334" w:rsidRPr="00762DA6">
        <w:rPr>
          <w:lang w:val="en-US"/>
        </w:rPr>
        <w:t xml:space="preserve">Do transaction costs influence firm trading behaviour in the european emissions trading system?. </w:t>
      </w:r>
      <w:r w:rsidR="00115334" w:rsidRPr="00762DA6">
        <w:rPr>
          <w:i/>
          <w:iCs/>
        </w:rPr>
        <w:t>Environmental and Resource Economics</w:t>
      </w:r>
      <w:r w:rsidR="00115334" w:rsidRPr="00762DA6">
        <w:t xml:space="preserve">, </w:t>
      </w:r>
      <w:r w:rsidR="00115334" w:rsidRPr="00762DA6">
        <w:rPr>
          <w:i/>
          <w:iCs/>
        </w:rPr>
        <w:t>62</w:t>
      </w:r>
      <w:r w:rsidR="00115334" w:rsidRPr="00762DA6">
        <w:t>(3), 583-613.</w:t>
      </w:r>
    </w:p>
    <w:p w14:paraId="29F2229C" w14:textId="4DE82045" w:rsidR="00DF4D1C" w:rsidRPr="00227125" w:rsidRDefault="00DF4D1C" w:rsidP="00227125">
      <w:pPr>
        <w:pStyle w:val="Literatur"/>
      </w:pPr>
      <w:r w:rsidRPr="00762DA6">
        <w:t>[5]</w:t>
      </w:r>
      <w:r w:rsidRPr="00762DA6">
        <w:tab/>
        <w:t xml:space="preserve">Schleich, J., Lehmann, S., Cludius, J., Abrell, J., Betz, R. A., &amp; Pinkse, J. (2020). Active or passive? Companies' use of the EU ETS. </w:t>
      </w:r>
      <w:r w:rsidR="00115334" w:rsidRPr="00762DA6">
        <w:t xml:space="preserve">Fraunhofer ISI </w:t>
      </w:r>
      <w:r w:rsidRPr="00762DA6">
        <w:t xml:space="preserve">Working Paper Sustainability and Innovation No. </w:t>
      </w:r>
      <w:r w:rsidRPr="00DF4D1C">
        <w:t>S07/2020</w:t>
      </w:r>
      <w:r w:rsidR="00115334">
        <w:t>.</w:t>
      </w:r>
    </w:p>
    <w:p w14:paraId="35E8526B" w14:textId="77777777" w:rsidR="005E4D4F" w:rsidRDefault="005E4D4F" w:rsidP="00227125">
      <w:pPr>
        <w:pStyle w:val="Literatur"/>
      </w:pPr>
    </w:p>
    <w:sectPr w:rsidR="005E4D4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94C801" w14:textId="77777777" w:rsidR="002F2B44" w:rsidRDefault="002F2B44">
      <w:r>
        <w:separator/>
      </w:r>
    </w:p>
  </w:endnote>
  <w:endnote w:type="continuationSeparator" w:id="0">
    <w:p w14:paraId="5DA62E56" w14:textId="77777777" w:rsidR="002F2B44" w:rsidRDefault="002F2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EE02A" w14:textId="77777777" w:rsidR="002F2B44" w:rsidRDefault="002F2B44">
      <w:r>
        <w:separator/>
      </w:r>
    </w:p>
  </w:footnote>
  <w:footnote w:type="continuationSeparator" w:id="0">
    <w:p w14:paraId="6F399811" w14:textId="77777777" w:rsidR="002F2B44" w:rsidRDefault="002F2B44">
      <w:r>
        <w:continuationSeparator/>
      </w:r>
    </w:p>
  </w:footnote>
  <w:footnote w:id="1">
    <w:p w14:paraId="11C9B54E" w14:textId="77777777" w:rsidR="00D53E86" w:rsidRPr="00762DA6" w:rsidRDefault="00D53E86" w:rsidP="002014D3">
      <w:r w:rsidRPr="00A115D2">
        <w:rPr>
          <w:rStyle w:val="Funotenzeichen"/>
        </w:rPr>
        <w:footnoteRef/>
      </w:r>
      <w:r w:rsidRPr="00762DA6">
        <w:t xml:space="preserve"> </w:t>
      </w:r>
      <w:r w:rsidR="00CB50A3" w:rsidRPr="00762DA6">
        <w:t>Arsenal Objekt 20</w:t>
      </w:r>
      <w:r w:rsidR="00E520E6" w:rsidRPr="00762DA6">
        <w:t xml:space="preserve">, </w:t>
      </w:r>
      <w:r w:rsidR="00CB50A3" w:rsidRPr="00762DA6">
        <w:t>+43 1 798 26 01 406</w:t>
      </w:r>
      <w:r w:rsidR="00A6148D" w:rsidRPr="00762DA6">
        <w:t>,</w:t>
      </w:r>
      <w:r w:rsidR="00FD5D56" w:rsidRPr="00762DA6">
        <w:t xml:space="preserve"> </w:t>
      </w:r>
      <w:r w:rsidR="00CB50A3" w:rsidRPr="00762DA6">
        <w:t>claudia.kettner@wifo.at</w:t>
      </w:r>
      <w:r w:rsidRPr="00762DA6">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5071F"/>
    <w:multiLevelType w:val="multilevel"/>
    <w:tmpl w:val="0978BA90"/>
    <w:numStyleLink w:val="Aufzhlung"/>
  </w:abstractNum>
  <w:abstractNum w:abstractNumId="1" w15:restartNumberingAfterBreak="0">
    <w:nsid w:val="17567494"/>
    <w:multiLevelType w:val="hybridMultilevel"/>
    <w:tmpl w:val="0978BA90"/>
    <w:lvl w:ilvl="0" w:tplc="085E6674">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5D75967"/>
    <w:multiLevelType w:val="multilevel"/>
    <w:tmpl w:val="0978BA90"/>
    <w:numStyleLink w:val="Aufzhlung"/>
  </w:abstractNum>
  <w:abstractNum w:abstractNumId="3" w15:restartNumberingAfterBreak="0">
    <w:nsid w:val="6B5E4F19"/>
    <w:multiLevelType w:val="multilevel"/>
    <w:tmpl w:val="0978BA90"/>
    <w:styleLink w:val="Aufzhlung"/>
    <w:lvl w:ilvl="0">
      <w:start w:val="1"/>
      <w:numFmt w:val="bullet"/>
      <w:lvlText w:val="-"/>
      <w:lvlJc w:val="left"/>
      <w:pPr>
        <w:tabs>
          <w:tab w:val="num" w:pos="720"/>
        </w:tabs>
        <w:ind w:left="720" w:hanging="360"/>
      </w:pPr>
      <w:rPr>
        <w:rFonts w:ascii="Arial" w:hAnsi="Arial" w:cs="Arial"/>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K0MDM1NjEzMDQ2NDFX0lEKTi0uzszPAykwrAUAX6v8WSwAAAA="/>
  </w:docVars>
  <w:rsids>
    <w:rsidRoot w:val="005E4D4F"/>
    <w:rsid w:val="00010E92"/>
    <w:rsid w:val="000678D6"/>
    <w:rsid w:val="000F0EDD"/>
    <w:rsid w:val="00115334"/>
    <w:rsid w:val="00131E3D"/>
    <w:rsid w:val="0015092A"/>
    <w:rsid w:val="00177835"/>
    <w:rsid w:val="002014D3"/>
    <w:rsid w:val="00224EB9"/>
    <w:rsid w:val="00227125"/>
    <w:rsid w:val="00262FD5"/>
    <w:rsid w:val="00271D85"/>
    <w:rsid w:val="002946B8"/>
    <w:rsid w:val="002F2B44"/>
    <w:rsid w:val="00350F98"/>
    <w:rsid w:val="00366910"/>
    <w:rsid w:val="00372E07"/>
    <w:rsid w:val="003909DD"/>
    <w:rsid w:val="003B676F"/>
    <w:rsid w:val="003C28FE"/>
    <w:rsid w:val="003E4BC2"/>
    <w:rsid w:val="004207CC"/>
    <w:rsid w:val="00483B87"/>
    <w:rsid w:val="004F7CD6"/>
    <w:rsid w:val="0053564B"/>
    <w:rsid w:val="005B1ADB"/>
    <w:rsid w:val="005B6E5C"/>
    <w:rsid w:val="005D6AFF"/>
    <w:rsid w:val="005E4D4F"/>
    <w:rsid w:val="00662525"/>
    <w:rsid w:val="006C5CF0"/>
    <w:rsid w:val="007378C8"/>
    <w:rsid w:val="00741EC0"/>
    <w:rsid w:val="00762DA6"/>
    <w:rsid w:val="00803917"/>
    <w:rsid w:val="00A07737"/>
    <w:rsid w:val="00A156E4"/>
    <w:rsid w:val="00A6148D"/>
    <w:rsid w:val="00B65D4B"/>
    <w:rsid w:val="00BD5FB4"/>
    <w:rsid w:val="00BF05FA"/>
    <w:rsid w:val="00C26745"/>
    <w:rsid w:val="00C7660C"/>
    <w:rsid w:val="00CB50A3"/>
    <w:rsid w:val="00CE1A70"/>
    <w:rsid w:val="00D53E86"/>
    <w:rsid w:val="00D736F8"/>
    <w:rsid w:val="00DF4D1C"/>
    <w:rsid w:val="00E51742"/>
    <w:rsid w:val="00E520E6"/>
    <w:rsid w:val="00E559A9"/>
    <w:rsid w:val="00EE07B1"/>
    <w:rsid w:val="00EF0C8C"/>
    <w:rsid w:val="00FB3183"/>
    <w:rsid w:val="00FB69AE"/>
    <w:rsid w:val="00FD5D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D84FBF"/>
  <w15:chartTrackingRefBased/>
  <w15:docId w15:val="{59B9B081-1316-4B2C-9D1D-FBDAB8096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27125"/>
    <w:pPr>
      <w:jc w:val="both"/>
    </w:pPr>
    <w:rPr>
      <w:rFonts w:ascii="Arial" w:hAnsi="Arial"/>
      <w:szCs w:val="24"/>
      <w:lang w:eastAsia="ko-K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aliases w:val="Footnote Reference Number,-E Fußnotenzeichen,(Diplomarbeit FZ),(Diplomarbeit FZ)1,(Diplomarbeit FZ)2,(Diplomarbeit FZ)3,(Diplomarbeit FZ)4,(Diplomarbeit FZ)5,(Diplomarbeit FZ)6,(Diplomarbeit FZ)7,(Diplomarbeit FZ)8,(Diplomarbeit FZ)9"/>
    <w:semiHidden/>
    <w:rsid w:val="005E4D4F"/>
    <w:rPr>
      <w:vertAlign w:val="superscript"/>
    </w:rPr>
  </w:style>
  <w:style w:type="paragraph" w:styleId="Titel">
    <w:name w:val="Title"/>
    <w:basedOn w:val="Standard"/>
    <w:link w:val="TitelZchn"/>
    <w:qFormat/>
    <w:rsid w:val="005E4D4F"/>
    <w:pPr>
      <w:pageBreakBefore/>
      <w:spacing w:before="120" w:after="120"/>
      <w:jc w:val="center"/>
    </w:pPr>
    <w:rPr>
      <w:b/>
      <w:snapToGrid w:val="0"/>
      <w:kern w:val="28"/>
      <w:sz w:val="32"/>
      <w:szCs w:val="20"/>
      <w:lang w:eastAsia="en-US"/>
    </w:rPr>
  </w:style>
  <w:style w:type="numbering" w:customStyle="1" w:styleId="Aufzhlung">
    <w:name w:val="Aufzählung"/>
    <w:basedOn w:val="KeineListe"/>
    <w:rsid w:val="00227125"/>
    <w:pPr>
      <w:numPr>
        <w:numId w:val="2"/>
      </w:numPr>
    </w:pPr>
  </w:style>
  <w:style w:type="paragraph" w:customStyle="1" w:styleId="Abbildungsbeschriftung">
    <w:name w:val="Abbildungsbeschriftung"/>
    <w:basedOn w:val="Standard"/>
    <w:rsid w:val="002946B8"/>
    <w:rPr>
      <w:i/>
      <w:iCs/>
    </w:rPr>
  </w:style>
  <w:style w:type="character" w:customStyle="1" w:styleId="TitelZchn">
    <w:name w:val="Titel Zchn"/>
    <w:link w:val="Titel"/>
    <w:rsid w:val="005E4D4F"/>
    <w:rPr>
      <w:rFonts w:ascii="Arial" w:hAnsi="Arial"/>
      <w:b/>
      <w:snapToGrid w:val="0"/>
      <w:kern w:val="28"/>
      <w:sz w:val="32"/>
      <w:lang w:val="de-DE" w:eastAsia="en-US" w:bidi="ar-SA"/>
    </w:rPr>
  </w:style>
  <w:style w:type="paragraph" w:customStyle="1" w:styleId="Ueberschrift">
    <w:name w:val="Ueberschrift"/>
    <w:basedOn w:val="Standard"/>
    <w:link w:val="UeberschriftChar"/>
    <w:rsid w:val="00A07737"/>
    <w:pPr>
      <w:spacing w:before="120" w:after="120"/>
    </w:pPr>
    <w:rPr>
      <w:b/>
      <w:spacing w:val="-5"/>
      <w:sz w:val="22"/>
      <w:lang w:eastAsia="de-DE"/>
    </w:rPr>
  </w:style>
  <w:style w:type="character" w:customStyle="1" w:styleId="UeberschriftChar">
    <w:name w:val="Ueberschrift Char"/>
    <w:link w:val="Ueberschrift"/>
    <w:rsid w:val="00A07737"/>
    <w:rPr>
      <w:rFonts w:ascii="Arial" w:hAnsi="Arial"/>
      <w:b/>
      <w:spacing w:val="-5"/>
      <w:sz w:val="22"/>
      <w:szCs w:val="24"/>
      <w:lang w:val="de-DE" w:eastAsia="de-DE" w:bidi="ar-SA"/>
    </w:rPr>
  </w:style>
  <w:style w:type="paragraph" w:customStyle="1" w:styleId="Abstract-Titel">
    <w:name w:val="Abstract-Titel"/>
    <w:basedOn w:val="Titel"/>
    <w:rsid w:val="005E4D4F"/>
    <w:rPr>
      <w:rFonts w:cs="Arial"/>
    </w:rPr>
  </w:style>
  <w:style w:type="paragraph" w:customStyle="1" w:styleId="AutorenOrganisation">
    <w:name w:val="Autoren &amp; Organisation"/>
    <w:basedOn w:val="Standard"/>
    <w:rsid w:val="00010E92"/>
    <w:pPr>
      <w:tabs>
        <w:tab w:val="left" w:pos="1560"/>
      </w:tabs>
      <w:overflowPunct w:val="0"/>
      <w:autoSpaceDE w:val="0"/>
      <w:autoSpaceDN w:val="0"/>
      <w:adjustRightInd w:val="0"/>
      <w:jc w:val="center"/>
      <w:textAlignment w:val="baseline"/>
    </w:pPr>
    <w:rPr>
      <w:rFonts w:cs="Arial"/>
      <w:color w:val="181512"/>
      <w:spacing w:val="-5"/>
      <w:sz w:val="24"/>
      <w:lang w:val="de-AT" w:eastAsia="de-DE"/>
    </w:rPr>
  </w:style>
  <w:style w:type="paragraph" w:customStyle="1" w:styleId="Literatur">
    <w:name w:val="Literatur"/>
    <w:basedOn w:val="Standard"/>
    <w:rsid w:val="005E4D4F"/>
    <w:pPr>
      <w:ind w:left="284" w:hanging="284"/>
    </w:pPr>
    <w:rPr>
      <w:rFonts w:cs="Arial"/>
      <w:szCs w:val="20"/>
      <w:lang w:eastAsia="de-DE"/>
    </w:rPr>
  </w:style>
  <w:style w:type="paragraph" w:styleId="Sprechblasentext">
    <w:name w:val="Balloon Text"/>
    <w:basedOn w:val="Standard"/>
    <w:link w:val="SprechblasentextZchn"/>
    <w:uiPriority w:val="99"/>
    <w:semiHidden/>
    <w:unhideWhenUsed/>
    <w:rsid w:val="00224EB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EB9"/>
    <w:rPr>
      <w:rFonts w:ascii="Segoe UI" w:hAnsi="Segoe UI" w:cs="Segoe UI"/>
      <w:sz w:val="18"/>
      <w:szCs w:val="18"/>
      <w:lang w:eastAsia="ko-KR"/>
    </w:rPr>
  </w:style>
  <w:style w:type="paragraph" w:styleId="Listenabsatz">
    <w:name w:val="List Paragraph"/>
    <w:basedOn w:val="Standard"/>
    <w:uiPriority w:val="34"/>
    <w:qFormat/>
    <w:rsid w:val="00224EB9"/>
    <w:pPr>
      <w:ind w:left="720"/>
      <w:contextualSpacing/>
    </w:pPr>
  </w:style>
  <w:style w:type="character" w:styleId="Hyperlink">
    <w:name w:val="Hyperlink"/>
    <w:basedOn w:val="Absatz-Standardschriftart"/>
    <w:uiPriority w:val="99"/>
    <w:unhideWhenUsed/>
    <w:rsid w:val="00DF4D1C"/>
    <w:rPr>
      <w:color w:val="0563C1" w:themeColor="hyperlink"/>
      <w:u w:val="single"/>
    </w:rPr>
  </w:style>
  <w:style w:type="character" w:styleId="NichtaufgelsteErwhnung">
    <w:name w:val="Unresolved Mention"/>
    <w:basedOn w:val="Absatz-Standardschriftart"/>
    <w:uiPriority w:val="99"/>
    <w:semiHidden/>
    <w:unhideWhenUsed/>
    <w:rsid w:val="00DF4D1C"/>
    <w:rPr>
      <w:color w:val="605E5C"/>
      <w:shd w:val="clear" w:color="auto" w:fill="E1DFDD"/>
    </w:rPr>
  </w:style>
  <w:style w:type="character" w:styleId="Kommentarzeichen">
    <w:name w:val="annotation reference"/>
    <w:basedOn w:val="Absatz-Standardschriftart"/>
    <w:uiPriority w:val="99"/>
    <w:semiHidden/>
    <w:unhideWhenUsed/>
    <w:rsid w:val="00762DA6"/>
    <w:rPr>
      <w:sz w:val="16"/>
      <w:szCs w:val="16"/>
    </w:rPr>
  </w:style>
  <w:style w:type="paragraph" w:styleId="Kommentartext">
    <w:name w:val="annotation text"/>
    <w:basedOn w:val="Standard"/>
    <w:link w:val="KommentartextZchn"/>
    <w:uiPriority w:val="99"/>
    <w:semiHidden/>
    <w:unhideWhenUsed/>
    <w:rsid w:val="00762DA6"/>
    <w:rPr>
      <w:szCs w:val="20"/>
    </w:rPr>
  </w:style>
  <w:style w:type="character" w:customStyle="1" w:styleId="KommentartextZchn">
    <w:name w:val="Kommentartext Zchn"/>
    <w:basedOn w:val="Absatz-Standardschriftart"/>
    <w:link w:val="Kommentartext"/>
    <w:uiPriority w:val="99"/>
    <w:semiHidden/>
    <w:rsid w:val="00762DA6"/>
    <w:rPr>
      <w:rFonts w:ascii="Arial" w:hAnsi="Arial"/>
      <w:lang w:eastAsia="ko-KR"/>
    </w:rPr>
  </w:style>
  <w:style w:type="paragraph" w:styleId="Kommentarthema">
    <w:name w:val="annotation subject"/>
    <w:basedOn w:val="Kommentartext"/>
    <w:next w:val="Kommentartext"/>
    <w:link w:val="KommentarthemaZchn"/>
    <w:uiPriority w:val="99"/>
    <w:semiHidden/>
    <w:unhideWhenUsed/>
    <w:rsid w:val="00762DA6"/>
    <w:rPr>
      <w:b/>
      <w:bCs/>
    </w:rPr>
  </w:style>
  <w:style w:type="character" w:customStyle="1" w:styleId="KommentarthemaZchn">
    <w:name w:val="Kommentarthema Zchn"/>
    <w:basedOn w:val="KommentartextZchn"/>
    <w:link w:val="Kommentarthema"/>
    <w:uiPriority w:val="99"/>
    <w:semiHidden/>
    <w:rsid w:val="00762DA6"/>
    <w:rPr>
      <w:rFonts w:ascii="Arial" w:hAnsi="Arial"/>
      <w:b/>
      <w:bCs/>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5DF89-4E2D-4FFA-A155-71902997A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680</Words>
  <Characters>4291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Titel</vt:lpstr>
    </vt:vector>
  </TitlesOfParts>
  <Company>TU-Wien Campuslizenz</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Gerald</dc:creator>
  <cp:keywords/>
  <cp:lastModifiedBy>Claudia Kettner</cp:lastModifiedBy>
  <cp:revision>3</cp:revision>
  <dcterms:created xsi:type="dcterms:W3CDTF">2021-05-31T08:04:00Z</dcterms:created>
  <dcterms:modified xsi:type="dcterms:W3CDTF">2021-05-31T08:44:00Z</dcterms:modified>
</cp:coreProperties>
</file>