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22007" w14:textId="26F35A9C" w:rsidR="005E4D4F" w:rsidRPr="005E4D4F" w:rsidRDefault="00DA59CA" w:rsidP="005E4D4F">
      <w:pPr>
        <w:pStyle w:val="Abstract-Titel"/>
      </w:pPr>
      <w:r>
        <w:t xml:space="preserve">Analyse und </w:t>
      </w:r>
      <w:r w:rsidR="00082E78">
        <w:t xml:space="preserve">Bewertung von Flexibilitätsanreizen für </w:t>
      </w:r>
      <w:r>
        <w:br/>
      </w:r>
      <w:r w:rsidR="00082E78">
        <w:t>dezentrale</w:t>
      </w:r>
      <w:r w:rsidR="00B6291D">
        <w:t>, sektorenintegrierte Energiesysteme</w:t>
      </w:r>
    </w:p>
    <w:p w14:paraId="4DF3775C" w14:textId="77777777" w:rsidR="00BF05FA" w:rsidRDefault="00BF05FA" w:rsidP="00662469">
      <w:pPr>
        <w:pStyle w:val="AutorenOrganisation"/>
        <w:spacing w:after="60"/>
      </w:pPr>
      <w:r>
        <w:t>Themenbereich</w:t>
      </w:r>
      <w:r w:rsidR="00B07D0E">
        <w:t xml:space="preserve"> 4: Aktive Endkunden-/Prosumerpartizipation</w:t>
      </w:r>
    </w:p>
    <w:p w14:paraId="1036D935" w14:textId="77777777" w:rsidR="005E4D4F" w:rsidRPr="005E4D4F" w:rsidRDefault="00384AFF" w:rsidP="00A156E4">
      <w:pPr>
        <w:pStyle w:val="AutorenOrganisation"/>
      </w:pPr>
      <w:r>
        <w:t>Maximilian</w:t>
      </w:r>
      <w:r w:rsidR="005E4D4F" w:rsidRPr="005E4D4F">
        <w:t xml:space="preserve"> </w:t>
      </w:r>
      <w:r>
        <w:t>Schulz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>Kai</w:t>
      </w:r>
      <w:r w:rsidR="00010E92" w:rsidRPr="005E4D4F">
        <w:t xml:space="preserve"> </w:t>
      </w:r>
      <w:r>
        <w:t>Hufendiek</w:t>
      </w:r>
      <w:r w:rsidR="00A156E4" w:rsidRPr="00A156E4">
        <w:rPr>
          <w:vertAlign w:val="superscript"/>
        </w:rPr>
        <w:t>(</w:t>
      </w:r>
      <w:r>
        <w:rPr>
          <w:vertAlign w:val="superscript"/>
        </w:rPr>
        <w:t>1</w:t>
      </w:r>
      <w:r w:rsidR="00A156E4">
        <w:rPr>
          <w:vertAlign w:val="superscript"/>
        </w:rPr>
        <w:t>)</w:t>
      </w:r>
    </w:p>
    <w:p w14:paraId="23377AB5" w14:textId="3572BA40" w:rsidR="005E4D4F" w:rsidRDefault="00384AFF" w:rsidP="00384AFF">
      <w:pPr>
        <w:pStyle w:val="AutorenOrganisation"/>
        <w:numPr>
          <w:ilvl w:val="0"/>
          <w:numId w:val="5"/>
        </w:numPr>
      </w:pPr>
      <w:r>
        <w:t>Inst</w:t>
      </w:r>
      <w:r w:rsidR="003B0B75">
        <w:t>itut für Energiewirtschaft und R</w:t>
      </w:r>
      <w:r>
        <w:t>ationelle Energieanwendung</w:t>
      </w:r>
      <w:r w:rsidR="00060A31">
        <w:t xml:space="preserve"> (IER)</w:t>
      </w:r>
      <w:r>
        <w:t>,</w:t>
      </w:r>
      <w:r w:rsidR="00060A31">
        <w:br/>
      </w:r>
      <w:r>
        <w:t>Universität Stuttgart</w:t>
      </w:r>
    </w:p>
    <w:p w14:paraId="226B2AED" w14:textId="77777777" w:rsidR="00A07737" w:rsidRPr="005E4D4F" w:rsidRDefault="00A07737" w:rsidP="00FB69AE">
      <w:pPr>
        <w:rPr>
          <w:lang w:val="de-AT"/>
        </w:rPr>
      </w:pPr>
    </w:p>
    <w:p w14:paraId="045A9048" w14:textId="7777777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66D8ED22" w14:textId="28264653" w:rsidR="00D93EEF" w:rsidRPr="00DD1858" w:rsidRDefault="00823E87" w:rsidP="00371C6F">
      <w:pPr>
        <w:rPr>
          <w:szCs w:val="21"/>
        </w:rPr>
      </w:pPr>
      <w:r w:rsidRPr="00DD1858">
        <w:rPr>
          <w:szCs w:val="21"/>
        </w:rPr>
        <w:t xml:space="preserve">Deutschland verfolgt </w:t>
      </w:r>
      <w:r w:rsidR="00B052DA">
        <w:rPr>
          <w:szCs w:val="21"/>
        </w:rPr>
        <w:t xml:space="preserve">als Beitrag zu den Vereinbarungen des Pariser Klimaabkommens </w:t>
      </w:r>
      <w:r w:rsidRPr="00DD1858">
        <w:rPr>
          <w:szCs w:val="21"/>
        </w:rPr>
        <w:t xml:space="preserve">ambitionierte Klimaschutzziele. Eine Möglichkeit </w:t>
      </w:r>
      <w:r w:rsidR="00157964">
        <w:rPr>
          <w:szCs w:val="21"/>
        </w:rPr>
        <w:t xml:space="preserve">zur Dekabonisierung ergibt sich in der </w:t>
      </w:r>
      <w:r w:rsidRPr="00DD1858">
        <w:rPr>
          <w:szCs w:val="21"/>
        </w:rPr>
        <w:t>Sektorenintegration (Elektrifizierung Sektoren Wärme</w:t>
      </w:r>
      <w:r w:rsidR="009648E0" w:rsidRPr="00DD1858">
        <w:rPr>
          <w:sz w:val="18"/>
        </w:rPr>
        <w:t> </w:t>
      </w:r>
      <w:r w:rsidRPr="00DD1858">
        <w:rPr>
          <w:szCs w:val="21"/>
        </w:rPr>
        <w:t>/</w:t>
      </w:r>
      <w:r w:rsidR="009648E0" w:rsidRPr="00DD1858">
        <w:rPr>
          <w:szCs w:val="21"/>
        </w:rPr>
        <w:t> </w:t>
      </w:r>
      <w:r w:rsidRPr="00DD1858">
        <w:rPr>
          <w:szCs w:val="21"/>
        </w:rPr>
        <w:t xml:space="preserve">Mobilität) </w:t>
      </w:r>
      <w:r w:rsidR="00C36ABF">
        <w:rPr>
          <w:szCs w:val="21"/>
        </w:rPr>
        <w:t>dezentraler Energiesysteme</w:t>
      </w:r>
      <w:r w:rsidR="00707FB2">
        <w:rPr>
          <w:szCs w:val="21"/>
        </w:rPr>
        <w:t xml:space="preserve"> </w:t>
      </w:r>
      <w:r w:rsidR="00F255FE" w:rsidRPr="00DD1858">
        <w:rPr>
          <w:szCs w:val="21"/>
        </w:rPr>
        <w:t>[</w:t>
      </w:r>
      <w:r w:rsidR="00F255FE">
        <w:rPr>
          <w:szCs w:val="21"/>
        </w:rPr>
        <w:t>1</w:t>
      </w:r>
      <w:r w:rsidR="00F255FE" w:rsidRPr="00DD1858">
        <w:rPr>
          <w:szCs w:val="21"/>
        </w:rPr>
        <w:t>] [</w:t>
      </w:r>
      <w:r w:rsidR="00F255FE">
        <w:rPr>
          <w:szCs w:val="21"/>
        </w:rPr>
        <w:t>2</w:t>
      </w:r>
      <w:r w:rsidR="00F255FE" w:rsidRPr="00DD1858">
        <w:rPr>
          <w:szCs w:val="21"/>
        </w:rPr>
        <w:t>]</w:t>
      </w:r>
      <w:r w:rsidR="00E51748">
        <w:rPr>
          <w:szCs w:val="21"/>
        </w:rPr>
        <w:t>, welche durch intelligente Steuerung</w:t>
      </w:r>
      <w:r w:rsidR="00C848C3">
        <w:rPr>
          <w:szCs w:val="21"/>
        </w:rPr>
        <w:t>en</w:t>
      </w:r>
      <w:r w:rsidR="00E51748">
        <w:rPr>
          <w:szCs w:val="21"/>
        </w:rPr>
        <w:t xml:space="preserve"> in</w:t>
      </w:r>
      <w:r w:rsidR="00322797">
        <w:rPr>
          <w:szCs w:val="21"/>
        </w:rPr>
        <w:t>s</w:t>
      </w:r>
      <w:r w:rsidR="00E51748">
        <w:rPr>
          <w:szCs w:val="21"/>
        </w:rPr>
        <w:t xml:space="preserve"> ganzheitliche Energiesystem integriert werden. </w:t>
      </w:r>
      <w:r w:rsidR="00ED135A">
        <w:rPr>
          <w:szCs w:val="21"/>
        </w:rPr>
        <w:t>In der Folge resultiert eine deutliche Zunahme dezentral installierte</w:t>
      </w:r>
      <w:r w:rsidR="008B2279">
        <w:rPr>
          <w:szCs w:val="21"/>
        </w:rPr>
        <w:t>r</w:t>
      </w:r>
      <w:r w:rsidR="00ED135A">
        <w:rPr>
          <w:szCs w:val="21"/>
        </w:rPr>
        <w:t xml:space="preserve"> Technologien (</w:t>
      </w:r>
      <w:r w:rsidR="00ED135A" w:rsidRPr="00DD1858">
        <w:rPr>
          <w:szCs w:val="21"/>
        </w:rPr>
        <w:t>v. a. Photovolt</w:t>
      </w:r>
      <w:r w:rsidR="00ED135A">
        <w:rPr>
          <w:szCs w:val="21"/>
        </w:rPr>
        <w:t>a</w:t>
      </w:r>
      <w:r w:rsidR="00ED135A" w:rsidRPr="00DD1858">
        <w:rPr>
          <w:szCs w:val="21"/>
        </w:rPr>
        <w:t>ik-Anlagen, Batteriespeicher, Wärmepumpen sowie Elektrofahrzeuge</w:t>
      </w:r>
      <w:r w:rsidR="00ED135A">
        <w:rPr>
          <w:szCs w:val="21"/>
        </w:rPr>
        <w:t>)</w:t>
      </w:r>
      <w:r w:rsidR="00ED135A" w:rsidRPr="00DD1858">
        <w:rPr>
          <w:szCs w:val="21"/>
        </w:rPr>
        <w:t>,</w:t>
      </w:r>
      <w:r w:rsidR="00ED135A">
        <w:rPr>
          <w:szCs w:val="21"/>
        </w:rPr>
        <w:t xml:space="preserve"> </w:t>
      </w:r>
      <w:r w:rsidR="008F7517">
        <w:rPr>
          <w:szCs w:val="21"/>
        </w:rPr>
        <w:t>verdeutlicht</w:t>
      </w:r>
      <w:r w:rsidR="00ED135A">
        <w:rPr>
          <w:szCs w:val="21"/>
        </w:rPr>
        <w:t xml:space="preserve"> in Abbildung 1, durch deren </w:t>
      </w:r>
      <w:r w:rsidR="00553547">
        <w:rPr>
          <w:szCs w:val="21"/>
        </w:rPr>
        <w:t>Betriebsf</w:t>
      </w:r>
      <w:r w:rsidR="00ED135A">
        <w:rPr>
          <w:szCs w:val="21"/>
        </w:rPr>
        <w:t xml:space="preserve">reiheitsgrade </w:t>
      </w:r>
      <w:r w:rsidR="007534E3">
        <w:rPr>
          <w:szCs w:val="21"/>
        </w:rPr>
        <w:t xml:space="preserve">systemseitig benötigte </w:t>
      </w:r>
      <w:r w:rsidR="00ED135A">
        <w:rPr>
          <w:szCs w:val="21"/>
        </w:rPr>
        <w:t xml:space="preserve">Flexibilität </w:t>
      </w:r>
      <w:r w:rsidR="000E29AE">
        <w:rPr>
          <w:szCs w:val="21"/>
        </w:rPr>
        <w:t xml:space="preserve">erschlossen </w:t>
      </w:r>
      <w:r w:rsidR="00ED135A">
        <w:rPr>
          <w:szCs w:val="21"/>
        </w:rPr>
        <w:t>werden kann</w:t>
      </w:r>
      <w:r w:rsidR="00371C6F">
        <w:rPr>
          <w:szCs w:val="21"/>
        </w:rPr>
        <w:t>.</w:t>
      </w:r>
      <w:r w:rsidR="004C0302" w:rsidRPr="00DD1858">
        <w:rPr>
          <w:szCs w:val="21"/>
        </w:rPr>
        <w:t xml:space="preserve"> </w:t>
      </w:r>
    </w:p>
    <w:p w14:paraId="297559D1" w14:textId="77777777" w:rsidR="00D93EEF" w:rsidRDefault="00D93EEF" w:rsidP="00D93EEF">
      <w:pPr>
        <w:keepNext/>
        <w:jc w:val="center"/>
      </w:pPr>
      <w:r w:rsidRPr="00D93EEF">
        <w:rPr>
          <w:noProof/>
          <w:lang w:eastAsia="de-DE"/>
        </w:rPr>
        <w:drawing>
          <wp:inline distT="0" distB="0" distL="0" distR="0" wp14:anchorId="06CC6BAE" wp14:editId="01D6E5C0">
            <wp:extent cx="4284000" cy="2711653"/>
            <wp:effectExtent l="0" t="0" r="254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271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75A74" w14:textId="43E163BD" w:rsidR="00D93EEF" w:rsidRPr="00D93EEF" w:rsidRDefault="00D93EEF" w:rsidP="00D93EEF">
      <w:pPr>
        <w:pStyle w:val="Beschriftung"/>
        <w:jc w:val="left"/>
        <w:rPr>
          <w:color w:val="auto"/>
          <w:sz w:val="20"/>
          <w:szCs w:val="24"/>
        </w:rPr>
      </w:pPr>
      <w:r w:rsidRPr="00D93EEF">
        <w:rPr>
          <w:color w:val="auto"/>
          <w:sz w:val="20"/>
          <w:szCs w:val="24"/>
        </w:rPr>
        <w:t xml:space="preserve">Abbildung </w:t>
      </w:r>
      <w:r>
        <w:rPr>
          <w:color w:val="auto"/>
          <w:sz w:val="20"/>
          <w:szCs w:val="24"/>
        </w:rPr>
        <w:t>1:</w:t>
      </w:r>
      <w:r>
        <w:rPr>
          <w:color w:val="auto"/>
          <w:sz w:val="20"/>
          <w:szCs w:val="24"/>
        </w:rPr>
        <w:tab/>
      </w:r>
      <w:r w:rsidR="008311FA">
        <w:rPr>
          <w:color w:val="auto"/>
          <w:sz w:val="20"/>
          <w:szCs w:val="24"/>
        </w:rPr>
        <w:t>Anzahl</w:t>
      </w:r>
      <w:r w:rsidR="00DE64B3">
        <w:rPr>
          <w:color w:val="auto"/>
          <w:sz w:val="20"/>
          <w:szCs w:val="24"/>
        </w:rPr>
        <w:t xml:space="preserve"> von </w:t>
      </w:r>
      <w:r w:rsidR="001B668F" w:rsidRPr="001B668F">
        <w:rPr>
          <w:color w:val="auto"/>
          <w:sz w:val="20"/>
          <w:szCs w:val="24"/>
        </w:rPr>
        <w:t>Photovoltaik</w:t>
      </w:r>
      <w:r w:rsidR="00DE64B3">
        <w:rPr>
          <w:color w:val="auto"/>
          <w:sz w:val="20"/>
          <w:szCs w:val="24"/>
        </w:rPr>
        <w:t>-Anlagen</w:t>
      </w:r>
      <w:r w:rsidR="00DE64B3" w:rsidRPr="00DE64B3">
        <w:t xml:space="preserve"> </w:t>
      </w:r>
      <w:r w:rsidR="00DE64B3" w:rsidRPr="00DE64B3">
        <w:rPr>
          <w:color w:val="auto"/>
          <w:sz w:val="20"/>
          <w:szCs w:val="24"/>
        </w:rPr>
        <w:t>[</w:t>
      </w:r>
      <w:r w:rsidR="00426BB0">
        <w:rPr>
          <w:color w:val="auto"/>
          <w:sz w:val="20"/>
          <w:szCs w:val="24"/>
        </w:rPr>
        <w:t>3</w:t>
      </w:r>
      <w:r w:rsidR="00DE64B3">
        <w:rPr>
          <w:color w:val="auto"/>
          <w:sz w:val="20"/>
          <w:szCs w:val="24"/>
        </w:rPr>
        <w:t xml:space="preserve">], Batteriespeichern </w:t>
      </w:r>
      <w:r w:rsidR="00DE64B3" w:rsidRPr="00DE64B3">
        <w:rPr>
          <w:color w:val="auto"/>
          <w:sz w:val="20"/>
          <w:szCs w:val="24"/>
        </w:rPr>
        <w:t>[</w:t>
      </w:r>
      <w:r w:rsidR="00426BB0">
        <w:rPr>
          <w:color w:val="auto"/>
          <w:sz w:val="20"/>
          <w:szCs w:val="24"/>
        </w:rPr>
        <w:t>4</w:t>
      </w:r>
      <w:r w:rsidR="00DE64B3">
        <w:rPr>
          <w:color w:val="auto"/>
          <w:sz w:val="20"/>
          <w:szCs w:val="24"/>
        </w:rPr>
        <w:t xml:space="preserve">] </w:t>
      </w:r>
      <w:r w:rsidR="00DE64B3" w:rsidRPr="00DE64B3">
        <w:rPr>
          <w:color w:val="auto"/>
          <w:sz w:val="20"/>
          <w:szCs w:val="24"/>
        </w:rPr>
        <w:t>[</w:t>
      </w:r>
      <w:r w:rsidR="00426BB0">
        <w:rPr>
          <w:color w:val="auto"/>
          <w:sz w:val="20"/>
          <w:szCs w:val="24"/>
        </w:rPr>
        <w:t>5</w:t>
      </w:r>
      <w:r w:rsidR="00DE64B3">
        <w:rPr>
          <w:color w:val="auto"/>
          <w:sz w:val="20"/>
          <w:szCs w:val="24"/>
        </w:rPr>
        <w:t>]</w:t>
      </w:r>
      <w:r w:rsidR="00E92424">
        <w:rPr>
          <w:color w:val="auto"/>
          <w:sz w:val="20"/>
          <w:szCs w:val="24"/>
        </w:rPr>
        <w:t>,</w:t>
      </w:r>
      <w:r w:rsidR="00E800AF">
        <w:rPr>
          <w:color w:val="auto"/>
          <w:sz w:val="20"/>
          <w:szCs w:val="24"/>
        </w:rPr>
        <w:t xml:space="preserve"> </w:t>
      </w:r>
      <w:r w:rsidR="00DE64B3">
        <w:rPr>
          <w:color w:val="auto"/>
          <w:sz w:val="20"/>
          <w:szCs w:val="24"/>
        </w:rPr>
        <w:t xml:space="preserve">Wärmepumpen </w:t>
      </w:r>
      <w:r w:rsidR="00DE64B3" w:rsidRPr="00DE64B3">
        <w:rPr>
          <w:color w:val="auto"/>
          <w:sz w:val="20"/>
          <w:szCs w:val="24"/>
        </w:rPr>
        <w:t>[</w:t>
      </w:r>
      <w:r w:rsidR="00426BB0">
        <w:rPr>
          <w:color w:val="auto"/>
          <w:sz w:val="20"/>
          <w:szCs w:val="24"/>
        </w:rPr>
        <w:t>6</w:t>
      </w:r>
      <w:r w:rsidR="00DE64B3">
        <w:rPr>
          <w:color w:val="auto"/>
          <w:sz w:val="20"/>
          <w:szCs w:val="24"/>
        </w:rPr>
        <w:t>]</w:t>
      </w:r>
      <w:r w:rsidR="00651078">
        <w:rPr>
          <w:color w:val="auto"/>
          <w:sz w:val="20"/>
          <w:szCs w:val="24"/>
        </w:rPr>
        <w:t xml:space="preserve"> </w:t>
      </w:r>
      <w:r w:rsidR="001B668F">
        <w:rPr>
          <w:color w:val="auto"/>
          <w:sz w:val="20"/>
          <w:szCs w:val="24"/>
        </w:rPr>
        <w:tab/>
      </w:r>
      <w:r w:rsidR="001B668F">
        <w:rPr>
          <w:color w:val="auto"/>
          <w:sz w:val="20"/>
          <w:szCs w:val="24"/>
        </w:rPr>
        <w:tab/>
      </w:r>
      <w:r w:rsidR="00DE64B3">
        <w:rPr>
          <w:color w:val="auto"/>
          <w:sz w:val="20"/>
          <w:szCs w:val="24"/>
        </w:rPr>
        <w:t>sowie Elektro- und Hybrid</w:t>
      </w:r>
      <w:r w:rsidR="00EC68B0">
        <w:rPr>
          <w:color w:val="auto"/>
          <w:sz w:val="20"/>
          <w:szCs w:val="24"/>
        </w:rPr>
        <w:t>-F</w:t>
      </w:r>
      <w:r w:rsidR="00DE64B3">
        <w:rPr>
          <w:color w:val="auto"/>
          <w:sz w:val="20"/>
          <w:szCs w:val="24"/>
        </w:rPr>
        <w:t xml:space="preserve">ahrzeugen </w:t>
      </w:r>
      <w:r w:rsidR="00DE64B3" w:rsidRPr="00DE64B3">
        <w:rPr>
          <w:color w:val="auto"/>
          <w:sz w:val="20"/>
          <w:szCs w:val="24"/>
        </w:rPr>
        <w:t>[</w:t>
      </w:r>
      <w:r w:rsidR="00426BB0">
        <w:rPr>
          <w:color w:val="auto"/>
          <w:sz w:val="20"/>
          <w:szCs w:val="24"/>
        </w:rPr>
        <w:t>7</w:t>
      </w:r>
      <w:r w:rsidR="00DE64B3">
        <w:rPr>
          <w:color w:val="auto"/>
          <w:sz w:val="20"/>
          <w:szCs w:val="24"/>
        </w:rPr>
        <w:t xml:space="preserve">] in Deutschland in den Jahren </w:t>
      </w:r>
      <w:r w:rsidR="006758FF">
        <w:rPr>
          <w:color w:val="auto"/>
          <w:sz w:val="20"/>
          <w:szCs w:val="24"/>
        </w:rPr>
        <w:t>201</w:t>
      </w:r>
      <w:r w:rsidR="00DE64B3">
        <w:rPr>
          <w:color w:val="auto"/>
          <w:sz w:val="20"/>
          <w:szCs w:val="24"/>
        </w:rPr>
        <w:t>3 bis 2020</w:t>
      </w:r>
    </w:p>
    <w:p w14:paraId="215DC6E4" w14:textId="31E0F1A8" w:rsidR="005E4D4F" w:rsidRPr="00DD1858" w:rsidRDefault="00D31737" w:rsidP="00722F8F">
      <w:pPr>
        <w:rPr>
          <w:sz w:val="18"/>
        </w:rPr>
      </w:pPr>
      <w:r w:rsidRPr="00DD1858">
        <w:rPr>
          <w:szCs w:val="21"/>
        </w:rPr>
        <w:t xml:space="preserve">Im Beitrag </w:t>
      </w:r>
      <w:r w:rsidR="00740251">
        <w:rPr>
          <w:szCs w:val="21"/>
        </w:rPr>
        <w:t>wird</w:t>
      </w:r>
      <w:r w:rsidR="008E07B4">
        <w:rPr>
          <w:szCs w:val="21"/>
        </w:rPr>
        <w:t xml:space="preserve"> </w:t>
      </w:r>
      <w:r w:rsidR="00CD7FC5" w:rsidRPr="00DD1858">
        <w:rPr>
          <w:szCs w:val="21"/>
        </w:rPr>
        <w:t xml:space="preserve">daher </w:t>
      </w:r>
      <w:r w:rsidR="008210FE">
        <w:rPr>
          <w:szCs w:val="21"/>
        </w:rPr>
        <w:t xml:space="preserve">untersucht und bewertet, </w:t>
      </w:r>
      <w:r w:rsidR="004D10B5">
        <w:rPr>
          <w:szCs w:val="21"/>
        </w:rPr>
        <w:t xml:space="preserve">welchen Einfluss </w:t>
      </w:r>
      <w:r w:rsidR="008210FE">
        <w:rPr>
          <w:szCs w:val="21"/>
        </w:rPr>
        <w:t xml:space="preserve">regulatorische Rahmenbedingungen, aktuell </w:t>
      </w:r>
      <w:r w:rsidR="004D10B5">
        <w:rPr>
          <w:szCs w:val="21"/>
        </w:rPr>
        <w:t>z</w:t>
      </w:r>
      <w:r w:rsidR="00F25E12">
        <w:rPr>
          <w:szCs w:val="21"/>
        </w:rPr>
        <w:t>.</w:t>
      </w:r>
      <w:r w:rsidR="0019430E">
        <w:rPr>
          <w:szCs w:val="21"/>
        </w:rPr>
        <w:t> </w:t>
      </w:r>
      <w:r w:rsidR="00F25E12">
        <w:rPr>
          <w:szCs w:val="21"/>
        </w:rPr>
        <w:t>B.</w:t>
      </w:r>
      <w:r w:rsidR="008210FE">
        <w:rPr>
          <w:szCs w:val="21"/>
        </w:rPr>
        <w:t xml:space="preserve"> diskutiert in der Reform des § </w:t>
      </w:r>
      <w:r w:rsidR="008210FE" w:rsidRPr="00DD1858">
        <w:rPr>
          <w:szCs w:val="21"/>
        </w:rPr>
        <w:t>14a</w:t>
      </w:r>
      <w:r w:rsidR="008210FE">
        <w:rPr>
          <w:szCs w:val="21"/>
        </w:rPr>
        <w:t> </w:t>
      </w:r>
      <w:r w:rsidR="008210FE" w:rsidRPr="00DD1858">
        <w:rPr>
          <w:szCs w:val="21"/>
        </w:rPr>
        <w:t>EnWG</w:t>
      </w:r>
      <w:r w:rsidR="00104F76">
        <w:rPr>
          <w:szCs w:val="21"/>
        </w:rPr>
        <w:t> </w:t>
      </w:r>
      <w:r w:rsidR="008210FE" w:rsidRPr="00DD1858">
        <w:rPr>
          <w:szCs w:val="21"/>
        </w:rPr>
        <w:t>[</w:t>
      </w:r>
      <w:r w:rsidR="008210FE">
        <w:rPr>
          <w:szCs w:val="21"/>
        </w:rPr>
        <w:t>8</w:t>
      </w:r>
      <w:r w:rsidR="008210FE" w:rsidRPr="00DD1858">
        <w:rPr>
          <w:szCs w:val="21"/>
        </w:rPr>
        <w:t>]</w:t>
      </w:r>
      <w:r w:rsidR="008210FE">
        <w:rPr>
          <w:szCs w:val="21"/>
        </w:rPr>
        <w:t xml:space="preserve">, </w:t>
      </w:r>
      <w:r w:rsidR="004D10B5">
        <w:rPr>
          <w:szCs w:val="21"/>
        </w:rPr>
        <w:t xml:space="preserve">auf </w:t>
      </w:r>
      <w:r w:rsidR="00355C08">
        <w:rPr>
          <w:szCs w:val="21"/>
        </w:rPr>
        <w:t xml:space="preserve">das Flexibilitätspotenzial eines dezentralen Energiesystems </w:t>
      </w:r>
      <w:r w:rsidR="004D10B5">
        <w:rPr>
          <w:szCs w:val="21"/>
        </w:rPr>
        <w:t>aufweisen</w:t>
      </w:r>
      <w:r w:rsidR="00355C08">
        <w:rPr>
          <w:szCs w:val="21"/>
        </w:rPr>
        <w:t>.</w:t>
      </w:r>
      <w:r w:rsidR="00722F8F" w:rsidRPr="00DD1858">
        <w:rPr>
          <w:sz w:val="18"/>
        </w:rPr>
        <w:t xml:space="preserve"> </w:t>
      </w:r>
    </w:p>
    <w:p w14:paraId="25A3DD2A" w14:textId="77777777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1A6860E9" w14:textId="53D3E415" w:rsidR="005E4D4F" w:rsidRPr="00DD1858" w:rsidRDefault="007C4372" w:rsidP="007C4372">
      <w:pPr>
        <w:rPr>
          <w:szCs w:val="21"/>
        </w:rPr>
      </w:pPr>
      <w:r w:rsidRPr="00DD1858">
        <w:rPr>
          <w:szCs w:val="21"/>
        </w:rPr>
        <w:t>Zur Untersuchung der vorgestellten Fragestellung wird das gemischt-ganzzahlige Optimierungsmodell E2M2_DES</w:t>
      </w:r>
      <w:r w:rsidR="00EF42DB" w:rsidRPr="00DD1858">
        <w:rPr>
          <w:szCs w:val="21"/>
        </w:rPr>
        <w:t xml:space="preserve"> [</w:t>
      </w:r>
      <w:r w:rsidR="00F255FE">
        <w:rPr>
          <w:szCs w:val="21"/>
        </w:rPr>
        <w:t>9</w:t>
      </w:r>
      <w:r w:rsidR="00EF42DB" w:rsidRPr="00DD1858">
        <w:rPr>
          <w:szCs w:val="21"/>
        </w:rPr>
        <w:t>] [</w:t>
      </w:r>
      <w:r w:rsidR="00F255FE">
        <w:rPr>
          <w:szCs w:val="21"/>
        </w:rPr>
        <w:t>10</w:t>
      </w:r>
      <w:r w:rsidR="00EF42DB" w:rsidRPr="00DD1858">
        <w:rPr>
          <w:szCs w:val="21"/>
        </w:rPr>
        <w:t>]</w:t>
      </w:r>
      <w:r w:rsidRPr="00DD1858">
        <w:rPr>
          <w:szCs w:val="21"/>
        </w:rPr>
        <w:t xml:space="preserve"> </w:t>
      </w:r>
      <w:r w:rsidR="00BB4147" w:rsidRPr="00DD1858">
        <w:rPr>
          <w:szCs w:val="21"/>
        </w:rPr>
        <w:t>verwendet</w:t>
      </w:r>
      <w:r w:rsidR="004353C6" w:rsidRPr="00DD1858">
        <w:rPr>
          <w:szCs w:val="21"/>
        </w:rPr>
        <w:t xml:space="preserve">, welches den </w:t>
      </w:r>
      <w:r w:rsidR="007971C5" w:rsidRPr="00DD1858">
        <w:rPr>
          <w:szCs w:val="21"/>
        </w:rPr>
        <w:t xml:space="preserve">kostenoptimalen Einsatz </w:t>
      </w:r>
      <w:r w:rsidR="004353C6" w:rsidRPr="00DD1858">
        <w:rPr>
          <w:szCs w:val="21"/>
        </w:rPr>
        <w:t>auswähl</w:t>
      </w:r>
      <w:r w:rsidR="002721F5" w:rsidRPr="00DD1858">
        <w:rPr>
          <w:szCs w:val="21"/>
        </w:rPr>
        <w:t>barer</w:t>
      </w:r>
      <w:r w:rsidR="007971C5" w:rsidRPr="00DD1858">
        <w:rPr>
          <w:szCs w:val="21"/>
        </w:rPr>
        <w:t xml:space="preserve"> Technologien</w:t>
      </w:r>
      <w:r w:rsidR="00C914C1">
        <w:rPr>
          <w:szCs w:val="21"/>
        </w:rPr>
        <w:t xml:space="preserve"> zur Deckung der lokalen</w:t>
      </w:r>
      <w:r w:rsidR="007971C5" w:rsidRPr="00DD1858">
        <w:rPr>
          <w:szCs w:val="21"/>
        </w:rPr>
        <w:t xml:space="preserve"> </w:t>
      </w:r>
      <w:r w:rsidR="00C914C1">
        <w:rPr>
          <w:szCs w:val="21"/>
        </w:rPr>
        <w:t xml:space="preserve">Strom-, Wärme- sowie Mobilitätsnachfrage </w:t>
      </w:r>
      <w:r w:rsidR="002F0D31">
        <w:rPr>
          <w:szCs w:val="21"/>
        </w:rPr>
        <w:t xml:space="preserve">eines </w:t>
      </w:r>
      <w:r w:rsidR="007971C5" w:rsidRPr="00DD1858">
        <w:rPr>
          <w:szCs w:val="21"/>
        </w:rPr>
        <w:t xml:space="preserve">dezentralen </w:t>
      </w:r>
      <w:r w:rsidR="00E851AF" w:rsidRPr="00DD1858">
        <w:rPr>
          <w:szCs w:val="21"/>
        </w:rPr>
        <w:t>Energiesystem</w:t>
      </w:r>
      <w:r w:rsidR="004353C6" w:rsidRPr="00DD1858">
        <w:rPr>
          <w:szCs w:val="21"/>
        </w:rPr>
        <w:t xml:space="preserve"> bestimmt</w:t>
      </w:r>
      <w:r w:rsidR="00E851AF" w:rsidRPr="00DD1858">
        <w:rPr>
          <w:szCs w:val="21"/>
        </w:rPr>
        <w:t>.</w:t>
      </w:r>
      <w:r w:rsidR="00055BC9" w:rsidRPr="00DD1858">
        <w:rPr>
          <w:szCs w:val="21"/>
        </w:rPr>
        <w:t xml:space="preserve"> I</w:t>
      </w:r>
      <w:r w:rsidR="00801A02">
        <w:rPr>
          <w:szCs w:val="21"/>
        </w:rPr>
        <w:t>n vorliegender Untersuchung</w:t>
      </w:r>
      <w:r w:rsidR="00055BC9" w:rsidRPr="00DD1858">
        <w:rPr>
          <w:szCs w:val="21"/>
        </w:rPr>
        <w:t xml:space="preserve"> wird dieses Energiesystem durch einen repräsentative</w:t>
      </w:r>
      <w:r w:rsidR="00F54424" w:rsidRPr="00DD1858">
        <w:rPr>
          <w:szCs w:val="21"/>
        </w:rPr>
        <w:t>n</w:t>
      </w:r>
      <w:r w:rsidR="00055BC9" w:rsidRPr="00DD1858">
        <w:rPr>
          <w:szCs w:val="21"/>
        </w:rPr>
        <w:t xml:space="preserve"> Einfamilienhaushalt charakterisiert, </w:t>
      </w:r>
      <w:r w:rsidR="009A620A">
        <w:rPr>
          <w:szCs w:val="21"/>
        </w:rPr>
        <w:t>ausgestattet</w:t>
      </w:r>
      <w:r w:rsidR="00F54424" w:rsidRPr="00DD1858">
        <w:rPr>
          <w:szCs w:val="21"/>
        </w:rPr>
        <w:t xml:space="preserve"> mit </w:t>
      </w:r>
      <w:r w:rsidR="007024E8">
        <w:rPr>
          <w:szCs w:val="21"/>
        </w:rPr>
        <w:t xml:space="preserve">einer </w:t>
      </w:r>
      <w:r w:rsidR="00055BC9" w:rsidRPr="00DD1858">
        <w:rPr>
          <w:szCs w:val="21"/>
        </w:rPr>
        <w:t xml:space="preserve">PV-Anlage in Kombination mit </w:t>
      </w:r>
      <w:r w:rsidR="00E923B2">
        <w:rPr>
          <w:szCs w:val="21"/>
        </w:rPr>
        <w:t xml:space="preserve">einem </w:t>
      </w:r>
      <w:r w:rsidR="00055BC9" w:rsidRPr="00DD1858">
        <w:rPr>
          <w:szCs w:val="21"/>
        </w:rPr>
        <w:t xml:space="preserve">Wärmepumpen-Wärmespeichersystem, Batteriespeicher </w:t>
      </w:r>
      <w:r w:rsidR="00E923B2">
        <w:rPr>
          <w:szCs w:val="21"/>
        </w:rPr>
        <w:t>und</w:t>
      </w:r>
      <w:r w:rsidR="00055BC9" w:rsidRPr="00DD1858">
        <w:rPr>
          <w:szCs w:val="21"/>
        </w:rPr>
        <w:t xml:space="preserve"> Elektrofahrzeug. </w:t>
      </w:r>
    </w:p>
    <w:p w14:paraId="63AE0914" w14:textId="2AF9AB12" w:rsidR="006657B6" w:rsidRPr="00DD1858" w:rsidRDefault="00EF42DB" w:rsidP="00A038BA">
      <w:pPr>
        <w:rPr>
          <w:sz w:val="18"/>
        </w:rPr>
      </w:pPr>
      <w:r w:rsidRPr="00DD1858">
        <w:rPr>
          <w:szCs w:val="21"/>
        </w:rPr>
        <w:t xml:space="preserve">Für die vorliegende Analyse </w:t>
      </w:r>
      <w:r w:rsidR="002E506F" w:rsidRPr="00DD1858">
        <w:rPr>
          <w:szCs w:val="21"/>
        </w:rPr>
        <w:t xml:space="preserve">wird </w:t>
      </w:r>
      <w:r w:rsidRPr="00DD1858">
        <w:rPr>
          <w:szCs w:val="21"/>
        </w:rPr>
        <w:t xml:space="preserve">das Modell </w:t>
      </w:r>
      <w:r w:rsidR="009445DF">
        <w:rPr>
          <w:szCs w:val="21"/>
        </w:rPr>
        <w:t>zur</w:t>
      </w:r>
      <w:r w:rsidRPr="00DD1858">
        <w:rPr>
          <w:szCs w:val="21"/>
        </w:rPr>
        <w:t xml:space="preserve"> Abbildung der systemseitigen Flexibilitäts</w:t>
      </w:r>
      <w:r w:rsidR="00FF41D2" w:rsidRPr="00DD1858">
        <w:rPr>
          <w:szCs w:val="21"/>
        </w:rPr>
        <w:t xml:space="preserve">anreize sowie </w:t>
      </w:r>
      <w:r w:rsidR="004A3272" w:rsidRPr="00DD1858">
        <w:rPr>
          <w:szCs w:val="21"/>
        </w:rPr>
        <w:t>-</w:t>
      </w:r>
      <w:r w:rsidRPr="00DD1858">
        <w:rPr>
          <w:szCs w:val="21"/>
        </w:rPr>
        <w:t xml:space="preserve">anforderungen erweitert. </w:t>
      </w:r>
      <w:r w:rsidR="00FF41D2" w:rsidRPr="00DD1858">
        <w:rPr>
          <w:szCs w:val="21"/>
        </w:rPr>
        <w:t xml:space="preserve">Diese Anreize </w:t>
      </w:r>
      <w:r w:rsidR="00F80067" w:rsidRPr="00DD1858">
        <w:rPr>
          <w:szCs w:val="21"/>
        </w:rPr>
        <w:t xml:space="preserve">stellen </w:t>
      </w:r>
      <w:r w:rsidR="00E66A0D">
        <w:rPr>
          <w:szCs w:val="21"/>
        </w:rPr>
        <w:t>M</w:t>
      </w:r>
      <w:r w:rsidR="004A3272" w:rsidRPr="00DD1858">
        <w:rPr>
          <w:szCs w:val="21"/>
        </w:rPr>
        <w:t xml:space="preserve">arktseitig </w:t>
      </w:r>
      <w:r w:rsidR="00F80067" w:rsidRPr="00DD1858">
        <w:rPr>
          <w:szCs w:val="21"/>
        </w:rPr>
        <w:t xml:space="preserve">dynamische Strompreise dar, </w:t>
      </w:r>
      <w:r w:rsidR="00E66A0D">
        <w:rPr>
          <w:szCs w:val="21"/>
        </w:rPr>
        <w:t>die</w:t>
      </w:r>
      <w:r w:rsidR="00F80067" w:rsidRPr="00DD1858">
        <w:rPr>
          <w:szCs w:val="21"/>
        </w:rPr>
        <w:t xml:space="preserve"> den Strombezug des dezentralen Energiesystems in Zeiten mit kostengünstige</w:t>
      </w:r>
      <w:r w:rsidR="00E66A0D">
        <w:rPr>
          <w:szCs w:val="21"/>
        </w:rPr>
        <w:t>n</w:t>
      </w:r>
      <w:r w:rsidR="00F80067" w:rsidRPr="00DD1858">
        <w:rPr>
          <w:szCs w:val="21"/>
        </w:rPr>
        <w:t xml:space="preserve"> Netzbezugspreis</w:t>
      </w:r>
      <w:r w:rsidR="00E66A0D">
        <w:rPr>
          <w:szCs w:val="21"/>
        </w:rPr>
        <w:t>en</w:t>
      </w:r>
      <w:r w:rsidR="00F80067" w:rsidRPr="00DD1858">
        <w:rPr>
          <w:szCs w:val="21"/>
        </w:rPr>
        <w:t xml:space="preserve"> verlagern.</w:t>
      </w:r>
      <w:r w:rsidR="003A5976">
        <w:rPr>
          <w:szCs w:val="21"/>
        </w:rPr>
        <w:t xml:space="preserve"> </w:t>
      </w:r>
      <w:r w:rsidR="004A3272" w:rsidRPr="00DD1858">
        <w:rPr>
          <w:szCs w:val="21"/>
        </w:rPr>
        <w:t>(Verteil-)</w:t>
      </w:r>
      <w:r w:rsidR="00E66A0D">
        <w:rPr>
          <w:szCs w:val="21"/>
        </w:rPr>
        <w:t>N</w:t>
      </w:r>
      <w:r w:rsidR="004A3272" w:rsidRPr="00DD1858">
        <w:rPr>
          <w:szCs w:val="21"/>
        </w:rPr>
        <w:t xml:space="preserve">etzseitig </w:t>
      </w:r>
      <w:r w:rsidR="00E66A0D">
        <w:rPr>
          <w:szCs w:val="21"/>
        </w:rPr>
        <w:t xml:space="preserve">stellen </w:t>
      </w:r>
      <w:r w:rsidR="00F80067" w:rsidRPr="00DD1858">
        <w:rPr>
          <w:szCs w:val="21"/>
        </w:rPr>
        <w:t>technologiescharfe Sperrzeiten</w:t>
      </w:r>
      <w:r w:rsidR="00E66A0D">
        <w:rPr>
          <w:szCs w:val="21"/>
        </w:rPr>
        <w:t xml:space="preserve"> (</w:t>
      </w:r>
      <w:r w:rsidR="00F80067" w:rsidRPr="00DD1858">
        <w:rPr>
          <w:szCs w:val="21"/>
        </w:rPr>
        <w:t xml:space="preserve">bspw. für </w:t>
      </w:r>
      <w:r w:rsidR="00E66A0D">
        <w:rPr>
          <w:szCs w:val="21"/>
        </w:rPr>
        <w:t xml:space="preserve">den Einsatz von </w:t>
      </w:r>
      <w:r w:rsidR="00F80067" w:rsidRPr="00DD1858">
        <w:rPr>
          <w:szCs w:val="21"/>
        </w:rPr>
        <w:t xml:space="preserve">Wärmepumpen oder das Beladen </w:t>
      </w:r>
      <w:r w:rsidR="00E66A0D">
        <w:rPr>
          <w:szCs w:val="21"/>
        </w:rPr>
        <w:t>eines</w:t>
      </w:r>
      <w:r w:rsidR="00F80067" w:rsidRPr="00DD1858">
        <w:rPr>
          <w:szCs w:val="21"/>
        </w:rPr>
        <w:t xml:space="preserve"> Elektrofahrzeugs</w:t>
      </w:r>
      <w:r w:rsidR="00E66A0D">
        <w:rPr>
          <w:szCs w:val="21"/>
        </w:rPr>
        <w:t>)</w:t>
      </w:r>
      <w:r w:rsidR="00F80067" w:rsidRPr="00DD1858">
        <w:rPr>
          <w:szCs w:val="21"/>
        </w:rPr>
        <w:t xml:space="preserve"> sowie </w:t>
      </w:r>
      <w:r w:rsidR="00314E53" w:rsidRPr="00DD1858">
        <w:rPr>
          <w:szCs w:val="21"/>
        </w:rPr>
        <w:t>L</w:t>
      </w:r>
      <w:r w:rsidR="00F80067" w:rsidRPr="00DD1858">
        <w:rPr>
          <w:szCs w:val="21"/>
        </w:rPr>
        <w:t xml:space="preserve">eistungsbeschränkungen </w:t>
      </w:r>
      <w:r w:rsidR="009445DF">
        <w:rPr>
          <w:szCs w:val="21"/>
        </w:rPr>
        <w:t>des</w:t>
      </w:r>
      <w:r w:rsidR="00EF37C0">
        <w:rPr>
          <w:szCs w:val="21"/>
        </w:rPr>
        <w:t xml:space="preserve"> </w:t>
      </w:r>
      <w:r w:rsidR="0083217F">
        <w:rPr>
          <w:szCs w:val="21"/>
        </w:rPr>
        <w:t>Haus</w:t>
      </w:r>
      <w:r w:rsidR="009549B3">
        <w:rPr>
          <w:szCs w:val="21"/>
        </w:rPr>
        <w:t>a</w:t>
      </w:r>
      <w:r w:rsidR="00EF37C0">
        <w:rPr>
          <w:szCs w:val="21"/>
        </w:rPr>
        <w:t>nschluss</w:t>
      </w:r>
      <w:r w:rsidR="00C1292F">
        <w:rPr>
          <w:szCs w:val="21"/>
        </w:rPr>
        <w:t>scharfen</w:t>
      </w:r>
      <w:r w:rsidR="009445DF">
        <w:rPr>
          <w:szCs w:val="21"/>
        </w:rPr>
        <w:t xml:space="preserve"> Netzbezugs</w:t>
      </w:r>
      <w:r w:rsidR="00314E53" w:rsidRPr="00DD1858">
        <w:rPr>
          <w:szCs w:val="21"/>
        </w:rPr>
        <w:t xml:space="preserve"> </w:t>
      </w:r>
      <w:r w:rsidR="00F80067" w:rsidRPr="00DD1858">
        <w:rPr>
          <w:szCs w:val="21"/>
        </w:rPr>
        <w:t xml:space="preserve">Maßnahmen dar, Flexibilität mit Blick auf kritische </w:t>
      </w:r>
      <w:r w:rsidR="00C930A6" w:rsidRPr="00DD1858">
        <w:rPr>
          <w:szCs w:val="21"/>
        </w:rPr>
        <w:t>N</w:t>
      </w:r>
      <w:r w:rsidR="00F80067" w:rsidRPr="00DD1858">
        <w:rPr>
          <w:szCs w:val="21"/>
        </w:rPr>
        <w:t>etzsituationen zu erbringen.</w:t>
      </w:r>
      <w:r w:rsidR="00A038BA">
        <w:rPr>
          <w:szCs w:val="21"/>
        </w:rPr>
        <w:t xml:space="preserve"> Hierdurch wird ermöglicht zu untersuchen, welchen Einfluss diese Anreizen und Maßnahmen auf den Betrieb der Technologien aufweisen sowie welche Mehrkosten für das Energiesysystem resultieren.</w:t>
      </w:r>
    </w:p>
    <w:p w14:paraId="7C59A6BE" w14:textId="77777777" w:rsidR="005E4D4F" w:rsidRPr="005E4D4F" w:rsidRDefault="005E4D4F" w:rsidP="005E4D4F">
      <w:pPr>
        <w:pStyle w:val="Ueberschrift"/>
      </w:pPr>
      <w:r w:rsidRPr="005E4D4F">
        <w:lastRenderedPageBreak/>
        <w:t>Ergebnisse und Schlussfolgerungen</w:t>
      </w:r>
      <w:bookmarkStart w:id="0" w:name="_GoBack"/>
      <w:bookmarkEnd w:id="0"/>
    </w:p>
    <w:p w14:paraId="212C90C8" w14:textId="5565963D" w:rsidR="00702C36" w:rsidRDefault="00702C36" w:rsidP="00227125">
      <w:pPr>
        <w:rPr>
          <w:szCs w:val="21"/>
        </w:rPr>
      </w:pPr>
      <w:r>
        <w:rPr>
          <w:szCs w:val="21"/>
        </w:rPr>
        <w:t>Durch den vorgestellten Ansatz werden zwei zentrale Beitr</w:t>
      </w:r>
      <w:r w:rsidR="008D7456">
        <w:rPr>
          <w:szCs w:val="21"/>
        </w:rPr>
        <w:t>ä</w:t>
      </w:r>
      <w:r>
        <w:rPr>
          <w:szCs w:val="21"/>
        </w:rPr>
        <w:t xml:space="preserve">ge </w:t>
      </w:r>
      <w:r w:rsidR="008D7456">
        <w:rPr>
          <w:szCs w:val="21"/>
        </w:rPr>
        <w:t>verfolgt</w:t>
      </w:r>
      <w:r>
        <w:rPr>
          <w:szCs w:val="21"/>
        </w:rPr>
        <w:t>:</w:t>
      </w:r>
    </w:p>
    <w:p w14:paraId="10D71EEB" w14:textId="52D47A29" w:rsidR="00FA7E26" w:rsidRPr="00DD1858" w:rsidRDefault="004869DD" w:rsidP="00227125">
      <w:pPr>
        <w:rPr>
          <w:szCs w:val="21"/>
        </w:rPr>
      </w:pPr>
      <w:r>
        <w:rPr>
          <w:szCs w:val="21"/>
        </w:rPr>
        <w:t>Z</w:t>
      </w:r>
      <w:r w:rsidR="00CC6D70">
        <w:rPr>
          <w:szCs w:val="21"/>
        </w:rPr>
        <w:t xml:space="preserve">unächst </w:t>
      </w:r>
      <w:r>
        <w:rPr>
          <w:szCs w:val="21"/>
        </w:rPr>
        <w:t xml:space="preserve">soll </w:t>
      </w:r>
      <w:r w:rsidR="00FA7E26" w:rsidRPr="00DD1858">
        <w:rPr>
          <w:szCs w:val="21"/>
        </w:rPr>
        <w:t xml:space="preserve">eine optimale Dimensionierung für </w:t>
      </w:r>
      <w:r w:rsidR="005D2B4E">
        <w:rPr>
          <w:szCs w:val="21"/>
        </w:rPr>
        <w:t xml:space="preserve">die </w:t>
      </w:r>
      <w:r w:rsidR="00FA7E26" w:rsidRPr="00DD1858">
        <w:rPr>
          <w:szCs w:val="21"/>
        </w:rPr>
        <w:t xml:space="preserve">Leistung der </w:t>
      </w:r>
      <w:r w:rsidR="00376276">
        <w:rPr>
          <w:szCs w:val="21"/>
        </w:rPr>
        <w:t xml:space="preserve">lokalen </w:t>
      </w:r>
      <w:r w:rsidR="00FA7E26" w:rsidRPr="00DD1858">
        <w:rPr>
          <w:szCs w:val="21"/>
        </w:rPr>
        <w:t>PV</w:t>
      </w:r>
      <w:r w:rsidR="00376276">
        <w:rPr>
          <w:szCs w:val="21"/>
        </w:rPr>
        <w:noBreakHyphen/>
      </w:r>
      <w:r w:rsidR="00FA7E26" w:rsidRPr="00DD1858">
        <w:rPr>
          <w:szCs w:val="21"/>
        </w:rPr>
        <w:t xml:space="preserve">Anlage sowie </w:t>
      </w:r>
      <w:r w:rsidR="004A7030">
        <w:rPr>
          <w:szCs w:val="21"/>
        </w:rPr>
        <w:t xml:space="preserve">für die </w:t>
      </w:r>
      <w:r w:rsidR="00FA7E26" w:rsidRPr="00DD1858">
        <w:rPr>
          <w:szCs w:val="21"/>
        </w:rPr>
        <w:t>Kapazität des Batteriespeichers</w:t>
      </w:r>
      <w:r w:rsidR="004A7030">
        <w:rPr>
          <w:szCs w:val="21"/>
        </w:rPr>
        <w:t xml:space="preserve"> </w:t>
      </w:r>
      <w:r w:rsidR="004A7030" w:rsidRPr="00DD1858">
        <w:rPr>
          <w:szCs w:val="21"/>
        </w:rPr>
        <w:t>d</w:t>
      </w:r>
      <w:r w:rsidR="004A7030">
        <w:rPr>
          <w:szCs w:val="21"/>
        </w:rPr>
        <w:t>e</w:t>
      </w:r>
      <w:r w:rsidR="004A7030" w:rsidRPr="00DD1858">
        <w:rPr>
          <w:szCs w:val="21"/>
        </w:rPr>
        <w:t>s Energiesystem</w:t>
      </w:r>
      <w:r w:rsidR="004A7030">
        <w:rPr>
          <w:szCs w:val="21"/>
        </w:rPr>
        <w:t>s</w:t>
      </w:r>
      <w:r w:rsidR="004A7030" w:rsidRPr="00DD1858">
        <w:rPr>
          <w:szCs w:val="21"/>
        </w:rPr>
        <w:t xml:space="preserve"> bestimmt</w:t>
      </w:r>
      <w:r w:rsidR="00376276">
        <w:rPr>
          <w:szCs w:val="21"/>
        </w:rPr>
        <w:t xml:space="preserve"> werden</w:t>
      </w:r>
      <w:r w:rsidR="00FA7E26" w:rsidRPr="00DD1858">
        <w:rPr>
          <w:szCs w:val="21"/>
        </w:rPr>
        <w:t xml:space="preserve">. Die Leistung der Wärmepumpe </w:t>
      </w:r>
      <w:r w:rsidR="00D34E1C">
        <w:rPr>
          <w:szCs w:val="21"/>
        </w:rPr>
        <w:t>wird</w:t>
      </w:r>
      <w:r w:rsidR="003F0156">
        <w:rPr>
          <w:szCs w:val="21"/>
        </w:rPr>
        <w:t xml:space="preserve"> </w:t>
      </w:r>
      <w:r w:rsidR="00D34E1C">
        <w:rPr>
          <w:szCs w:val="21"/>
        </w:rPr>
        <w:t xml:space="preserve">in der Regel </w:t>
      </w:r>
      <w:r w:rsidR="00376276">
        <w:rPr>
          <w:szCs w:val="21"/>
        </w:rPr>
        <w:t xml:space="preserve">individuell </w:t>
      </w:r>
      <w:r w:rsidR="003F0156">
        <w:rPr>
          <w:szCs w:val="21"/>
        </w:rPr>
        <w:t xml:space="preserve">in </w:t>
      </w:r>
      <w:r w:rsidR="00FA7E26" w:rsidRPr="00DD1858">
        <w:rPr>
          <w:szCs w:val="21"/>
        </w:rPr>
        <w:t>Abhängigkeit des lokalen Heizbedarfs</w:t>
      </w:r>
      <w:r w:rsidR="003F0156">
        <w:rPr>
          <w:szCs w:val="21"/>
        </w:rPr>
        <w:t xml:space="preserve"> ermittelt</w:t>
      </w:r>
      <w:r w:rsidR="004A7030">
        <w:rPr>
          <w:szCs w:val="21"/>
        </w:rPr>
        <w:t>. Die</w:t>
      </w:r>
      <w:r w:rsidR="003F0156">
        <w:rPr>
          <w:szCs w:val="21"/>
        </w:rPr>
        <w:t xml:space="preserve"> </w:t>
      </w:r>
      <w:r w:rsidR="005D2B4E">
        <w:rPr>
          <w:szCs w:val="21"/>
        </w:rPr>
        <w:t xml:space="preserve">zukünftige </w:t>
      </w:r>
      <w:r w:rsidR="003F0156">
        <w:rPr>
          <w:szCs w:val="21"/>
        </w:rPr>
        <w:t xml:space="preserve">Ladeleistung </w:t>
      </w:r>
      <w:r w:rsidR="00B77963">
        <w:rPr>
          <w:szCs w:val="21"/>
        </w:rPr>
        <w:t xml:space="preserve">privater Endnutzer </w:t>
      </w:r>
      <w:r w:rsidR="003F0156">
        <w:rPr>
          <w:szCs w:val="21"/>
        </w:rPr>
        <w:t>kann</w:t>
      </w:r>
      <w:r w:rsidR="00FA7E26" w:rsidRPr="00DD1858">
        <w:rPr>
          <w:szCs w:val="21"/>
        </w:rPr>
        <w:t xml:space="preserve"> </w:t>
      </w:r>
      <w:r w:rsidR="003F0156">
        <w:rPr>
          <w:szCs w:val="21"/>
        </w:rPr>
        <w:t xml:space="preserve">im Rahmen </w:t>
      </w:r>
      <w:r w:rsidR="005D2B4E">
        <w:rPr>
          <w:szCs w:val="21"/>
        </w:rPr>
        <w:t xml:space="preserve">der aktuellen Entwicklungen, </w:t>
      </w:r>
      <w:r w:rsidR="00D34E1C">
        <w:rPr>
          <w:szCs w:val="21"/>
        </w:rPr>
        <w:t xml:space="preserve">bspw. </w:t>
      </w:r>
      <w:r w:rsidR="005D2B4E">
        <w:rPr>
          <w:szCs w:val="21"/>
        </w:rPr>
        <w:t xml:space="preserve">des </w:t>
      </w:r>
      <w:r w:rsidR="00FA7E26" w:rsidRPr="00DD1858">
        <w:rPr>
          <w:szCs w:val="21"/>
        </w:rPr>
        <w:t>KfW-Förderprogramm</w:t>
      </w:r>
      <w:r w:rsidR="003F0156">
        <w:rPr>
          <w:szCs w:val="21"/>
        </w:rPr>
        <w:t>s</w:t>
      </w:r>
      <w:r w:rsidR="00FA7E26" w:rsidRPr="00DD1858">
        <w:rPr>
          <w:szCs w:val="21"/>
        </w:rPr>
        <w:t> 440</w:t>
      </w:r>
      <w:r w:rsidR="001D4E15">
        <w:rPr>
          <w:szCs w:val="21"/>
        </w:rPr>
        <w:t xml:space="preserve"> </w:t>
      </w:r>
      <w:r w:rsidR="00CB0B7C" w:rsidRPr="00CB0B7C">
        <w:rPr>
          <w:szCs w:val="21"/>
        </w:rPr>
        <w:t>[</w:t>
      </w:r>
      <w:r w:rsidR="00F71051">
        <w:rPr>
          <w:szCs w:val="21"/>
        </w:rPr>
        <w:t>11</w:t>
      </w:r>
      <w:r w:rsidR="00CB0B7C" w:rsidRPr="00CB0B7C">
        <w:rPr>
          <w:szCs w:val="21"/>
        </w:rPr>
        <w:t>]</w:t>
      </w:r>
      <w:r w:rsidR="005D2B4E">
        <w:rPr>
          <w:szCs w:val="21"/>
        </w:rPr>
        <w:t>,</w:t>
      </w:r>
      <w:r w:rsidR="00FA7E26" w:rsidRPr="00DD1858">
        <w:rPr>
          <w:szCs w:val="21"/>
        </w:rPr>
        <w:t xml:space="preserve"> </w:t>
      </w:r>
      <w:r w:rsidR="00C57DA5">
        <w:rPr>
          <w:szCs w:val="21"/>
        </w:rPr>
        <w:t xml:space="preserve">mit einer </w:t>
      </w:r>
      <w:r w:rsidR="00FA7E26" w:rsidRPr="00DD1858">
        <w:rPr>
          <w:szCs w:val="21"/>
        </w:rPr>
        <w:t>Ladeleistung von 11 kW angenommen werden.</w:t>
      </w:r>
      <w:r w:rsidR="006F538F">
        <w:rPr>
          <w:szCs w:val="21"/>
        </w:rPr>
        <w:t xml:space="preserve"> </w:t>
      </w:r>
      <w:r w:rsidR="00BB3D05">
        <w:rPr>
          <w:szCs w:val="21"/>
        </w:rPr>
        <w:t xml:space="preserve">Als Ergebnis </w:t>
      </w:r>
      <w:r w:rsidR="004B22B6">
        <w:rPr>
          <w:szCs w:val="21"/>
        </w:rPr>
        <w:t xml:space="preserve">werden so </w:t>
      </w:r>
      <w:r w:rsidR="00FA7E26" w:rsidRPr="00DD1858">
        <w:rPr>
          <w:szCs w:val="21"/>
        </w:rPr>
        <w:t xml:space="preserve">Dimensionierungsempfehlungen </w:t>
      </w:r>
      <w:r w:rsidR="004B22B6">
        <w:rPr>
          <w:szCs w:val="21"/>
        </w:rPr>
        <w:t>für die Ausstattung realer Energiesysteme abgeleite</w:t>
      </w:r>
      <w:r w:rsidR="00022A1C">
        <w:rPr>
          <w:szCs w:val="21"/>
        </w:rPr>
        <w:t>t</w:t>
      </w:r>
      <w:r w:rsidR="00FA7E26" w:rsidRPr="00DD1858">
        <w:rPr>
          <w:szCs w:val="21"/>
        </w:rPr>
        <w:t>.</w:t>
      </w:r>
    </w:p>
    <w:p w14:paraId="2F6CF044" w14:textId="57EFE771" w:rsidR="00D6612C" w:rsidRDefault="00FF28CC" w:rsidP="00227125">
      <w:pPr>
        <w:rPr>
          <w:szCs w:val="21"/>
        </w:rPr>
      </w:pPr>
      <w:r w:rsidRPr="00DD1858">
        <w:rPr>
          <w:szCs w:val="21"/>
        </w:rPr>
        <w:t>Als zweiter Beitrag werden die Mehrkosten durch die Variation der regulatorischen Rahmenbedin</w:t>
      </w:r>
      <w:r w:rsidR="004A7030">
        <w:rPr>
          <w:szCs w:val="21"/>
        </w:rPr>
        <w:t>g</w:t>
      </w:r>
      <w:r w:rsidR="00302AE2">
        <w:rPr>
          <w:szCs w:val="21"/>
        </w:rPr>
        <w:t>ungen</w:t>
      </w:r>
      <w:r w:rsidRPr="00DD1858">
        <w:rPr>
          <w:szCs w:val="21"/>
        </w:rPr>
        <w:t xml:space="preserve"> </w:t>
      </w:r>
      <w:r w:rsidR="00CF100A">
        <w:rPr>
          <w:szCs w:val="21"/>
        </w:rPr>
        <w:t>(</w:t>
      </w:r>
      <w:r w:rsidRPr="00DD1858">
        <w:rPr>
          <w:szCs w:val="21"/>
        </w:rPr>
        <w:t xml:space="preserve">dynamische Strompreise, Netzbezugsbegrenzungen </w:t>
      </w:r>
      <w:r w:rsidR="00CF100A">
        <w:rPr>
          <w:szCs w:val="21"/>
        </w:rPr>
        <w:t>und technologiescharfe</w:t>
      </w:r>
      <w:r w:rsidRPr="00DD1858">
        <w:rPr>
          <w:szCs w:val="21"/>
        </w:rPr>
        <w:t xml:space="preserve"> Sperrzeiten</w:t>
      </w:r>
      <w:r w:rsidR="00CF100A">
        <w:rPr>
          <w:szCs w:val="21"/>
        </w:rPr>
        <w:t>)</w:t>
      </w:r>
      <w:r w:rsidRPr="00DD1858">
        <w:rPr>
          <w:szCs w:val="21"/>
        </w:rPr>
        <w:t xml:space="preserve"> auf den Haushalt quantifiziert und analysiert. </w:t>
      </w:r>
      <w:r w:rsidR="004554FF" w:rsidRPr="00DD1858">
        <w:rPr>
          <w:szCs w:val="21"/>
        </w:rPr>
        <w:t xml:space="preserve">Diese Mehrkosten stellen gleichzeitig die </w:t>
      </w:r>
      <w:r w:rsidR="00E22E48">
        <w:rPr>
          <w:szCs w:val="21"/>
        </w:rPr>
        <w:t>minimale</w:t>
      </w:r>
      <w:r w:rsidR="00D6525C">
        <w:rPr>
          <w:szCs w:val="21"/>
        </w:rPr>
        <w:t xml:space="preserve"> </w:t>
      </w:r>
      <w:r w:rsidR="00020553">
        <w:rPr>
          <w:szCs w:val="21"/>
        </w:rPr>
        <w:t>Kompensation</w:t>
      </w:r>
      <w:r w:rsidR="004554FF" w:rsidRPr="00DD1858">
        <w:rPr>
          <w:szCs w:val="21"/>
        </w:rPr>
        <w:t xml:space="preserve"> an den Haushalt dar, welche </w:t>
      </w:r>
      <w:r w:rsidR="00CE4F2B">
        <w:rPr>
          <w:szCs w:val="21"/>
        </w:rPr>
        <w:t xml:space="preserve">ihm </w:t>
      </w:r>
      <w:r w:rsidR="004554FF" w:rsidRPr="00DD1858">
        <w:rPr>
          <w:szCs w:val="21"/>
        </w:rPr>
        <w:t>für die Erbrin</w:t>
      </w:r>
      <w:r w:rsidR="00A001D1">
        <w:rPr>
          <w:szCs w:val="21"/>
        </w:rPr>
        <w:t>g</w:t>
      </w:r>
      <w:r w:rsidR="004554FF" w:rsidRPr="00DD1858">
        <w:rPr>
          <w:szCs w:val="21"/>
        </w:rPr>
        <w:t xml:space="preserve">ung </w:t>
      </w:r>
      <w:r w:rsidR="0056173D">
        <w:rPr>
          <w:szCs w:val="21"/>
        </w:rPr>
        <w:t xml:space="preserve">der Flexibilität </w:t>
      </w:r>
      <w:r w:rsidR="00020553">
        <w:rPr>
          <w:szCs w:val="21"/>
        </w:rPr>
        <w:t>zu zahlen ist</w:t>
      </w:r>
      <w:r w:rsidR="004554FF" w:rsidRPr="00DD1858">
        <w:rPr>
          <w:szCs w:val="21"/>
        </w:rPr>
        <w:t xml:space="preserve">. </w:t>
      </w:r>
      <w:r w:rsidR="00BB7FCA">
        <w:rPr>
          <w:szCs w:val="21"/>
        </w:rPr>
        <w:t xml:space="preserve">Gleichzeitig </w:t>
      </w:r>
      <w:r w:rsidR="00D6612C" w:rsidRPr="00DD1858">
        <w:rPr>
          <w:szCs w:val="21"/>
        </w:rPr>
        <w:t>sollen die Maßnahmen anhand ihrer</w:t>
      </w:r>
      <w:r w:rsidR="00DD7FA4">
        <w:rPr>
          <w:szCs w:val="21"/>
        </w:rPr>
        <w:t xml:space="preserve"> resultierenden</w:t>
      </w:r>
      <w:r w:rsidR="00D6612C" w:rsidRPr="00DD1858">
        <w:rPr>
          <w:szCs w:val="21"/>
        </w:rPr>
        <w:t xml:space="preserve"> Netzbezugsspitzen sowie des damit verbundenen Erfolgs zur </w:t>
      </w:r>
      <w:r w:rsidR="000D6703" w:rsidRPr="00DD1858">
        <w:rPr>
          <w:szCs w:val="21"/>
        </w:rPr>
        <w:t>Verstetigung de</w:t>
      </w:r>
      <w:r w:rsidR="0081155F">
        <w:rPr>
          <w:szCs w:val="21"/>
        </w:rPr>
        <w:t>r</w:t>
      </w:r>
      <w:r w:rsidR="000D6703" w:rsidRPr="00DD1858">
        <w:rPr>
          <w:szCs w:val="21"/>
        </w:rPr>
        <w:t xml:space="preserve"> </w:t>
      </w:r>
      <w:r w:rsidR="0081155F">
        <w:rPr>
          <w:szCs w:val="21"/>
        </w:rPr>
        <w:t>lokalen Stromachfrage</w:t>
      </w:r>
      <w:r w:rsidR="000D6703" w:rsidRPr="00DD1858">
        <w:rPr>
          <w:szCs w:val="21"/>
        </w:rPr>
        <w:t xml:space="preserve"> </w:t>
      </w:r>
      <w:r w:rsidR="00D6612C" w:rsidRPr="00DD1858">
        <w:rPr>
          <w:szCs w:val="21"/>
        </w:rPr>
        <w:t>bewertet werden</w:t>
      </w:r>
      <w:r w:rsidR="000D6703" w:rsidRPr="00DD1858">
        <w:rPr>
          <w:szCs w:val="21"/>
        </w:rPr>
        <w:t>.</w:t>
      </w:r>
      <w:r w:rsidR="0064228A">
        <w:rPr>
          <w:szCs w:val="21"/>
        </w:rPr>
        <w:t xml:space="preserve"> </w:t>
      </w:r>
      <w:r w:rsidR="00A001D1">
        <w:rPr>
          <w:szCs w:val="21"/>
        </w:rPr>
        <w:t xml:space="preserve">In der Folge </w:t>
      </w:r>
      <w:r w:rsidR="006E4476">
        <w:rPr>
          <w:szCs w:val="21"/>
        </w:rPr>
        <w:t>kann abgeleitet werden</w:t>
      </w:r>
      <w:r w:rsidR="00A001D1">
        <w:rPr>
          <w:szCs w:val="21"/>
        </w:rPr>
        <w:t xml:space="preserve">, welche der genannten Maßnahmen zur </w:t>
      </w:r>
      <w:r w:rsidR="006E4476">
        <w:rPr>
          <w:szCs w:val="21"/>
        </w:rPr>
        <w:t xml:space="preserve">Vermeidung </w:t>
      </w:r>
      <w:r w:rsidR="00A001D1">
        <w:rPr>
          <w:szCs w:val="21"/>
        </w:rPr>
        <w:t xml:space="preserve">von kritischen </w:t>
      </w:r>
      <w:r w:rsidR="00CD3434">
        <w:rPr>
          <w:szCs w:val="21"/>
        </w:rPr>
        <w:t>N</w:t>
      </w:r>
      <w:r w:rsidR="00A001D1">
        <w:rPr>
          <w:szCs w:val="21"/>
        </w:rPr>
        <w:t>etzsituationen geeignet sind.</w:t>
      </w:r>
    </w:p>
    <w:p w14:paraId="394CFA2C" w14:textId="6DF0AED1" w:rsidR="00B32290" w:rsidRPr="00DD1858" w:rsidRDefault="003D3138" w:rsidP="00227125">
      <w:pPr>
        <w:rPr>
          <w:szCs w:val="21"/>
        </w:rPr>
      </w:pPr>
      <w:r>
        <w:rPr>
          <w:szCs w:val="21"/>
        </w:rPr>
        <w:t xml:space="preserve">Zusammenfassend </w:t>
      </w:r>
      <w:r w:rsidR="000E3957">
        <w:rPr>
          <w:szCs w:val="21"/>
        </w:rPr>
        <w:t>sollen erfolgsversprechende Maßnahmen zur Flexibilisierung von dezentralen, sektorenintegrierten Energiesystemen identifiziert</w:t>
      </w:r>
      <w:r w:rsidR="001A5966">
        <w:rPr>
          <w:szCs w:val="21"/>
        </w:rPr>
        <w:t xml:space="preserve"> werden</w:t>
      </w:r>
      <w:r w:rsidR="000E3957">
        <w:rPr>
          <w:szCs w:val="21"/>
        </w:rPr>
        <w:t>, um einen Beitrag zu deren Systemintegration zu liefern</w:t>
      </w:r>
      <w:r w:rsidR="00026EDA">
        <w:rPr>
          <w:szCs w:val="21"/>
        </w:rPr>
        <w:t>.</w:t>
      </w:r>
      <w:r>
        <w:rPr>
          <w:szCs w:val="21"/>
        </w:rPr>
        <w:t xml:space="preserve"> </w:t>
      </w:r>
    </w:p>
    <w:p w14:paraId="4CEE2F2A" w14:textId="77777777" w:rsidR="005E4D4F" w:rsidRDefault="005E4D4F" w:rsidP="00227125"/>
    <w:p w14:paraId="34701DBB" w14:textId="3010F60F" w:rsidR="005E4D4F" w:rsidRDefault="005E4D4F" w:rsidP="00A156E4">
      <w:pPr>
        <w:pStyle w:val="Ueberschrift"/>
      </w:pPr>
      <w:bookmarkStart w:id="1" w:name="_Toc26086066"/>
      <w:bookmarkStart w:id="2" w:name="_Toc68418491"/>
      <w:r w:rsidRPr="005E4D4F">
        <w:t>Literatur</w:t>
      </w:r>
      <w:bookmarkEnd w:id="1"/>
      <w:bookmarkEnd w:id="2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DC7487" w14:paraId="64502E1B" w14:textId="77777777" w:rsidTr="002C07D9">
        <w:tc>
          <w:tcPr>
            <w:tcW w:w="562" w:type="dxa"/>
          </w:tcPr>
          <w:p w14:paraId="2E00D355" w14:textId="3FAF51D7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[1]</w:t>
            </w:r>
          </w:p>
        </w:tc>
        <w:tc>
          <w:tcPr>
            <w:tcW w:w="8500" w:type="dxa"/>
          </w:tcPr>
          <w:p w14:paraId="70B82AD5" w14:textId="07B942E6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spacing w:val="0"/>
                <w:sz w:val="20"/>
                <w:szCs w:val="20"/>
              </w:rPr>
              <w:t xml:space="preserve">Hartel, R., et al. 2019. </w:t>
            </w:r>
            <w:r w:rsidRPr="00DC7487">
              <w:rPr>
                <w:rFonts w:cs="Arial"/>
                <w:b w:val="0"/>
                <w:spacing w:val="0"/>
                <w:sz w:val="20"/>
                <w:szCs w:val="20"/>
              </w:rPr>
              <w:t>Deka</w:t>
            </w:r>
            <w:r>
              <w:rPr>
                <w:rFonts w:cs="Arial"/>
                <w:b w:val="0"/>
                <w:spacing w:val="0"/>
                <w:sz w:val="20"/>
                <w:szCs w:val="20"/>
              </w:rPr>
              <w:t>rbonisierung des Energiesystems</w:t>
            </w:r>
            <w:r w:rsidRPr="00DC7487">
              <w:rPr>
                <w:rFonts w:cs="Arial"/>
                <w:b w:val="0"/>
                <w:spacing w:val="0"/>
                <w:sz w:val="20"/>
                <w:szCs w:val="20"/>
              </w:rPr>
              <w:t xml:space="preserve"> durch verstärkten Einsatz erneuerbaren Stroms im Wärme-, Verkehrs- und  Indu</w:t>
            </w:r>
            <w:r>
              <w:rPr>
                <w:rFonts w:cs="Arial"/>
                <w:b w:val="0"/>
                <w:spacing w:val="0"/>
                <w:sz w:val="20"/>
                <w:szCs w:val="20"/>
              </w:rPr>
              <w:t xml:space="preserve">striesektor bei gleichzeitigen </w:t>
            </w:r>
            <w:r w:rsidRPr="00DC7487">
              <w:rPr>
                <w:rFonts w:cs="Arial"/>
                <w:b w:val="0"/>
                <w:spacing w:val="0"/>
                <w:sz w:val="20"/>
                <w:szCs w:val="20"/>
              </w:rPr>
              <w:t>Stilllegungen von Kraftwerken</w:t>
            </w:r>
            <w:r>
              <w:rPr>
                <w:rFonts w:cs="Arial"/>
                <w:b w:val="0"/>
                <w:spacing w:val="0"/>
                <w:sz w:val="20"/>
                <w:szCs w:val="20"/>
              </w:rPr>
              <w:t xml:space="preserve">. </w:t>
            </w:r>
          </w:p>
        </w:tc>
      </w:tr>
      <w:tr w:rsidR="00DC7487" w14:paraId="70CC8CDC" w14:textId="77777777" w:rsidTr="002C07D9">
        <w:tc>
          <w:tcPr>
            <w:tcW w:w="562" w:type="dxa"/>
          </w:tcPr>
          <w:p w14:paraId="73059E0B" w14:textId="43E37D39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[2]</w:t>
            </w:r>
          </w:p>
        </w:tc>
        <w:tc>
          <w:tcPr>
            <w:tcW w:w="8500" w:type="dxa"/>
          </w:tcPr>
          <w:p w14:paraId="398CFCD7" w14:textId="77E50237" w:rsidR="00DC7487" w:rsidRPr="00B4194E" w:rsidRDefault="00F33C91" w:rsidP="00F33C91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spacing w:val="0"/>
                <w:sz w:val="20"/>
                <w:szCs w:val="20"/>
              </w:rPr>
              <w:t xml:space="preserve">Conrad, J.. 2020. </w:t>
            </w:r>
            <w:r w:rsidRPr="00F33C91">
              <w:rPr>
                <w:rFonts w:cs="Arial"/>
                <w:b w:val="0"/>
                <w:spacing w:val="0"/>
                <w:sz w:val="20"/>
                <w:szCs w:val="20"/>
              </w:rPr>
              <w:t>Modellierung und Bewertung von Maßnahmen zur kosteneffizienten CO2-Verminderung im Sektor private Haushalte</w:t>
            </w:r>
            <w:r>
              <w:rPr>
                <w:rFonts w:cs="Arial"/>
                <w:b w:val="0"/>
                <w:spacing w:val="0"/>
                <w:sz w:val="20"/>
                <w:szCs w:val="20"/>
              </w:rPr>
              <w:t xml:space="preserve">. München. </w:t>
            </w:r>
          </w:p>
        </w:tc>
      </w:tr>
      <w:tr w:rsidR="00DC7487" w14:paraId="326736E9" w14:textId="77777777" w:rsidTr="002C07D9">
        <w:tc>
          <w:tcPr>
            <w:tcW w:w="562" w:type="dxa"/>
          </w:tcPr>
          <w:p w14:paraId="7CEFBB90" w14:textId="2E38831B" w:rsidR="00DC7487" w:rsidRPr="00B4194E" w:rsidRDefault="00DC7487" w:rsidP="0045529E">
            <w:pPr>
              <w:pStyle w:val="Ueberschrift"/>
              <w:rPr>
                <w:sz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[</w:t>
            </w:r>
            <w:r w:rsidR="0045529E">
              <w:rPr>
                <w:rFonts w:cs="Arial"/>
                <w:b w:val="0"/>
                <w:spacing w:val="0"/>
                <w:sz w:val="20"/>
                <w:szCs w:val="20"/>
              </w:rPr>
              <w:t>3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]</w:t>
            </w:r>
          </w:p>
        </w:tc>
        <w:tc>
          <w:tcPr>
            <w:tcW w:w="8500" w:type="dxa"/>
          </w:tcPr>
          <w:p w14:paraId="13FB7FEC" w14:textId="62DC5C1D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Bundesnetzagentur für Elektrizität, Gas, Telekommunikation, Post und Eisenbahn. 2021. EEG-Anlagenstammdaten. Berlin.</w:t>
            </w:r>
          </w:p>
        </w:tc>
      </w:tr>
      <w:tr w:rsidR="00DC7487" w14:paraId="7A38B7F4" w14:textId="77777777" w:rsidTr="002C07D9">
        <w:tc>
          <w:tcPr>
            <w:tcW w:w="562" w:type="dxa"/>
          </w:tcPr>
          <w:p w14:paraId="3CB248A2" w14:textId="2F9F5D89" w:rsidR="00DC7487" w:rsidRPr="00B4194E" w:rsidRDefault="00DC7487" w:rsidP="0045529E">
            <w:pPr>
              <w:pStyle w:val="Ueberschrift"/>
              <w:rPr>
                <w:sz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[</w:t>
            </w:r>
            <w:r w:rsidR="0045529E">
              <w:rPr>
                <w:rFonts w:cs="Arial"/>
                <w:b w:val="0"/>
                <w:spacing w:val="0"/>
                <w:sz w:val="20"/>
                <w:szCs w:val="20"/>
              </w:rPr>
              <w:t>4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]</w:t>
            </w:r>
          </w:p>
        </w:tc>
        <w:tc>
          <w:tcPr>
            <w:tcW w:w="8500" w:type="dxa"/>
          </w:tcPr>
          <w:p w14:paraId="1E994D57" w14:textId="1A01081E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Institut für Stromrichtertechnik und Elektrische Antriebe (ISEA). 2019. Wissenschaftliches Mess- und Evaluierungsprogramm Solarspeicher. Aachen.</w:t>
            </w:r>
          </w:p>
        </w:tc>
      </w:tr>
      <w:tr w:rsidR="00DC7487" w14:paraId="694EE706" w14:textId="77777777" w:rsidTr="002C07D9">
        <w:tc>
          <w:tcPr>
            <w:tcW w:w="562" w:type="dxa"/>
          </w:tcPr>
          <w:p w14:paraId="6CF5F211" w14:textId="54D8E95E" w:rsidR="00DC7487" w:rsidRPr="00B4194E" w:rsidRDefault="00DC7487" w:rsidP="0045529E">
            <w:pPr>
              <w:pStyle w:val="Ueberschrift"/>
              <w:rPr>
                <w:sz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[</w:t>
            </w:r>
            <w:r w:rsidR="0045529E">
              <w:rPr>
                <w:rFonts w:cs="Arial"/>
                <w:b w:val="0"/>
                <w:spacing w:val="0"/>
                <w:sz w:val="20"/>
                <w:szCs w:val="20"/>
              </w:rPr>
              <w:t>5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]</w:t>
            </w:r>
          </w:p>
        </w:tc>
        <w:tc>
          <w:tcPr>
            <w:tcW w:w="8500" w:type="dxa"/>
          </w:tcPr>
          <w:p w14:paraId="32545BB4" w14:textId="397BEBE5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Bundesverband Energiespeicher. 2021. BVES-Branchenzahlen 2021: 300.000 Hausspeicher in Deutschland. Berlin.</w:t>
            </w:r>
          </w:p>
        </w:tc>
      </w:tr>
      <w:tr w:rsidR="00DC7487" w14:paraId="132ACBBC" w14:textId="77777777" w:rsidTr="002C07D9">
        <w:tc>
          <w:tcPr>
            <w:tcW w:w="562" w:type="dxa"/>
          </w:tcPr>
          <w:p w14:paraId="1301BAD5" w14:textId="0CF77D84" w:rsidR="00DC7487" w:rsidRPr="00B4194E" w:rsidRDefault="00DC7487" w:rsidP="0045529E">
            <w:pPr>
              <w:pStyle w:val="Ueberschrift"/>
              <w:rPr>
                <w:sz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[</w:t>
            </w:r>
            <w:r w:rsidR="0045529E">
              <w:rPr>
                <w:rFonts w:cs="Arial"/>
                <w:b w:val="0"/>
                <w:spacing w:val="0"/>
                <w:sz w:val="20"/>
                <w:szCs w:val="20"/>
              </w:rPr>
              <w:t>6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]</w:t>
            </w:r>
          </w:p>
        </w:tc>
        <w:tc>
          <w:tcPr>
            <w:tcW w:w="8500" w:type="dxa"/>
          </w:tcPr>
          <w:p w14:paraId="44693533" w14:textId="720C856B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Bundesverband Wärmepumpe. 2021. Absatzzahlen für Heizungswärmepumpen in Deutschland. Berlin</w:t>
            </w:r>
            <w:r>
              <w:rPr>
                <w:rFonts w:cs="Arial"/>
                <w:b w:val="0"/>
                <w:spacing w:val="0"/>
                <w:sz w:val="20"/>
                <w:szCs w:val="20"/>
              </w:rPr>
              <w:t>.</w:t>
            </w:r>
          </w:p>
        </w:tc>
      </w:tr>
      <w:tr w:rsidR="00DC7487" w14:paraId="5E2E1A0A" w14:textId="77777777" w:rsidTr="002C07D9">
        <w:tc>
          <w:tcPr>
            <w:tcW w:w="562" w:type="dxa"/>
          </w:tcPr>
          <w:p w14:paraId="6BD6957B" w14:textId="7252CFC8" w:rsidR="00DC7487" w:rsidRPr="00B4194E" w:rsidRDefault="00DC7487" w:rsidP="0045529E">
            <w:pPr>
              <w:pStyle w:val="Ueberschrift"/>
              <w:rPr>
                <w:sz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[</w:t>
            </w:r>
            <w:r w:rsidR="0045529E">
              <w:rPr>
                <w:rFonts w:cs="Arial"/>
                <w:b w:val="0"/>
                <w:spacing w:val="0"/>
                <w:sz w:val="20"/>
                <w:szCs w:val="20"/>
              </w:rPr>
              <w:t>7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]</w:t>
            </w:r>
          </w:p>
        </w:tc>
        <w:tc>
          <w:tcPr>
            <w:tcW w:w="8500" w:type="dxa"/>
          </w:tcPr>
          <w:p w14:paraId="223173A4" w14:textId="401F4CEC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Kraftfahrt-Bundesamt. 2021</w:t>
            </w:r>
            <w:r>
              <w:rPr>
                <w:rFonts w:cs="Arial"/>
                <w:b w:val="0"/>
                <w:spacing w:val="0"/>
                <w:sz w:val="20"/>
                <w:szCs w:val="20"/>
              </w:rPr>
              <w:t>. Bestand nach Umwelt-Merkmalen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. Flensburg.</w:t>
            </w:r>
          </w:p>
        </w:tc>
      </w:tr>
      <w:tr w:rsidR="00DC7487" w14:paraId="4140E545" w14:textId="77777777" w:rsidTr="002C07D9">
        <w:tc>
          <w:tcPr>
            <w:tcW w:w="562" w:type="dxa"/>
          </w:tcPr>
          <w:p w14:paraId="13749877" w14:textId="3262DDCE" w:rsidR="00DC7487" w:rsidRPr="00B4194E" w:rsidRDefault="00DC7487" w:rsidP="0045529E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[</w:t>
            </w:r>
            <w:r w:rsidR="0045529E">
              <w:rPr>
                <w:rFonts w:cs="Arial"/>
                <w:b w:val="0"/>
                <w:spacing w:val="0"/>
                <w:sz w:val="20"/>
                <w:szCs w:val="20"/>
              </w:rPr>
              <w:t>8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]</w:t>
            </w:r>
          </w:p>
        </w:tc>
        <w:tc>
          <w:tcPr>
            <w:tcW w:w="8500" w:type="dxa"/>
          </w:tcPr>
          <w:p w14:paraId="7B09C7BF" w14:textId="4C2E686D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spacing w:val="0"/>
                <w:sz w:val="20"/>
                <w:szCs w:val="20"/>
              </w:rPr>
              <w:t>Bundesministerium für Wirtschaft und Energie. 2020. Referentenentwurf Steuerbare-Verbrauchseinrichtungen-Gesetz – SteuVerG. Berlin.</w:t>
            </w:r>
          </w:p>
        </w:tc>
      </w:tr>
      <w:tr w:rsidR="00DC7487" w14:paraId="754A9250" w14:textId="77777777" w:rsidTr="002C07D9">
        <w:tc>
          <w:tcPr>
            <w:tcW w:w="562" w:type="dxa"/>
          </w:tcPr>
          <w:p w14:paraId="29A9EC11" w14:textId="67FB91B0" w:rsidR="00DC7487" w:rsidRPr="00B4194E" w:rsidRDefault="00DC7487" w:rsidP="0045529E">
            <w:pPr>
              <w:pStyle w:val="Ueberschrift"/>
              <w:rPr>
                <w:sz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[</w:t>
            </w:r>
            <w:r w:rsidR="0045529E">
              <w:rPr>
                <w:rFonts w:cs="Arial"/>
                <w:b w:val="0"/>
                <w:spacing w:val="0"/>
                <w:sz w:val="20"/>
                <w:szCs w:val="20"/>
              </w:rPr>
              <w:t>9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]</w:t>
            </w:r>
          </w:p>
        </w:tc>
        <w:tc>
          <w:tcPr>
            <w:tcW w:w="8500" w:type="dxa"/>
          </w:tcPr>
          <w:p w14:paraId="76D21A5E" w14:textId="6B568645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 xml:space="preserve">Schulz, M., Kemmler, T., Kumm, J., Hufendiek, K., Thomas, B. 2020. </w:t>
            </w:r>
            <w:r w:rsidRPr="009B18C3">
              <w:rPr>
                <w:rFonts w:cs="Arial"/>
                <w:b w:val="0"/>
                <w:spacing w:val="0"/>
                <w:sz w:val="20"/>
                <w:szCs w:val="20"/>
                <w:lang w:val="en-US"/>
              </w:rPr>
              <w:t xml:space="preserve">A More Realistic Heat Pump Control Approach by Application of an Integrated Two-Part Control. </w:t>
            </w:r>
            <w:r w:rsidRPr="00B4194E">
              <w:rPr>
                <w:rFonts w:cs="Arial"/>
                <w:b w:val="0"/>
                <w:i/>
                <w:spacing w:val="0"/>
                <w:sz w:val="20"/>
                <w:szCs w:val="20"/>
              </w:rPr>
              <w:t>Energies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.</w:t>
            </w:r>
          </w:p>
        </w:tc>
      </w:tr>
      <w:tr w:rsidR="00DC7487" w14:paraId="22249980" w14:textId="77777777" w:rsidTr="002C07D9">
        <w:tc>
          <w:tcPr>
            <w:tcW w:w="562" w:type="dxa"/>
          </w:tcPr>
          <w:p w14:paraId="3A3A5974" w14:textId="780637FA" w:rsidR="00DC7487" w:rsidRPr="00B4194E" w:rsidRDefault="00DC7487" w:rsidP="0045529E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[</w:t>
            </w:r>
            <w:r w:rsidR="0045529E">
              <w:rPr>
                <w:rFonts w:cs="Arial"/>
                <w:b w:val="0"/>
                <w:spacing w:val="0"/>
                <w:sz w:val="20"/>
                <w:szCs w:val="20"/>
              </w:rPr>
              <w:t>10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]</w:t>
            </w:r>
          </w:p>
        </w:tc>
        <w:tc>
          <w:tcPr>
            <w:tcW w:w="8500" w:type="dxa"/>
          </w:tcPr>
          <w:p w14:paraId="6B86818B" w14:textId="50B5D919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9B18C3">
              <w:rPr>
                <w:rFonts w:cs="Arial"/>
                <w:b w:val="0"/>
                <w:spacing w:val="0"/>
                <w:sz w:val="20"/>
                <w:szCs w:val="20"/>
                <w:lang w:val="en-US"/>
              </w:rPr>
              <w:t xml:space="preserve">Schulz M, Hufendiek K. 2021. Discussing the Actual Impact of Optimizing Cost and GHG Emission Minimal Charging of Electric Vehicles in Distributed Energy Systems. </w:t>
            </w:r>
            <w:r w:rsidRPr="00B4194E">
              <w:rPr>
                <w:rFonts w:cs="Arial"/>
                <w:b w:val="0"/>
                <w:i/>
                <w:spacing w:val="0"/>
                <w:sz w:val="20"/>
                <w:szCs w:val="20"/>
              </w:rPr>
              <w:t>Energies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.</w:t>
            </w:r>
          </w:p>
        </w:tc>
      </w:tr>
      <w:tr w:rsidR="00DC7487" w14:paraId="6D02FBED" w14:textId="77777777" w:rsidTr="002C07D9">
        <w:tc>
          <w:tcPr>
            <w:tcW w:w="562" w:type="dxa"/>
          </w:tcPr>
          <w:p w14:paraId="3BF84AB1" w14:textId="5655C97E" w:rsidR="00DC7487" w:rsidRPr="00B4194E" w:rsidRDefault="00DC7487" w:rsidP="0045529E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[</w:t>
            </w:r>
            <w:r w:rsidR="0045529E">
              <w:rPr>
                <w:rFonts w:cs="Arial"/>
                <w:b w:val="0"/>
                <w:spacing w:val="0"/>
                <w:sz w:val="20"/>
                <w:szCs w:val="20"/>
              </w:rPr>
              <w:t>11</w:t>
            </w: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]</w:t>
            </w:r>
          </w:p>
        </w:tc>
        <w:tc>
          <w:tcPr>
            <w:tcW w:w="8500" w:type="dxa"/>
          </w:tcPr>
          <w:p w14:paraId="3F564E34" w14:textId="598E4DEE" w:rsidR="00DC7487" w:rsidRPr="00B4194E" w:rsidRDefault="00DC7487" w:rsidP="00DC7487">
            <w:pPr>
              <w:pStyle w:val="Ueberschrift"/>
              <w:rPr>
                <w:rFonts w:cs="Arial"/>
                <w:b w:val="0"/>
                <w:spacing w:val="0"/>
                <w:sz w:val="20"/>
                <w:szCs w:val="20"/>
              </w:rPr>
            </w:pPr>
            <w:r w:rsidRPr="00B4194E">
              <w:rPr>
                <w:rFonts w:cs="Arial"/>
                <w:b w:val="0"/>
                <w:spacing w:val="0"/>
                <w:sz w:val="20"/>
                <w:szCs w:val="20"/>
              </w:rPr>
              <w:t>KfW. 2021. Ladestationen für Elektroautos – Wohngebäude. Frankfurt.</w:t>
            </w:r>
          </w:p>
        </w:tc>
      </w:tr>
    </w:tbl>
    <w:p w14:paraId="34EB2020" w14:textId="77777777" w:rsidR="005E4D4F" w:rsidRDefault="005E4D4F" w:rsidP="00F171C2">
      <w:pPr>
        <w:pStyle w:val="Ueberschrift"/>
      </w:pPr>
    </w:p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E7A585" w16cid:durableId="243C3266"/>
  <w16cid:commentId w16cid:paraId="42F27FC9" w16cid:durableId="243C3295"/>
  <w16cid:commentId w16cid:paraId="178C9A1F" w16cid:durableId="243C3310"/>
  <w16cid:commentId w16cid:paraId="4079B456" w16cid:durableId="243C3363"/>
  <w16cid:commentId w16cid:paraId="2D54347B" w16cid:durableId="243C33B6"/>
  <w16cid:commentId w16cid:paraId="34EFC6F1" w16cid:durableId="243C3340"/>
  <w16cid:commentId w16cid:paraId="646D26D1" w16cid:durableId="243C33E5"/>
  <w16cid:commentId w16cid:paraId="7FA79CFD" w16cid:durableId="243C360E"/>
  <w16cid:commentId w16cid:paraId="331B9257" w16cid:durableId="243C341F"/>
  <w16cid:commentId w16cid:paraId="02ED0F11" w16cid:durableId="243C365D"/>
  <w16cid:commentId w16cid:paraId="33E553DA" w16cid:durableId="243C3267"/>
  <w16cid:commentId w16cid:paraId="035B57BB" w16cid:durableId="243C36A6"/>
  <w16cid:commentId w16cid:paraId="3C4F1BDF" w16cid:durableId="243C36CB"/>
  <w16cid:commentId w16cid:paraId="425B25E6" w16cid:durableId="243C373D"/>
  <w16cid:commentId w16cid:paraId="06DF7723" w16cid:durableId="243C3BBC"/>
  <w16cid:commentId w16cid:paraId="4606585E" w16cid:durableId="243C389E"/>
  <w16cid:commentId w16cid:paraId="0303257C" w16cid:durableId="243C3268"/>
  <w16cid:commentId w16cid:paraId="21D3B98D" w16cid:durableId="243C3974"/>
  <w16cid:commentId w16cid:paraId="3054B8D0" w16cid:durableId="243C399A"/>
  <w16cid:commentId w16cid:paraId="0FF3FC11" w16cid:durableId="243C3ACA"/>
  <w16cid:commentId w16cid:paraId="3087C49C" w16cid:durableId="243C3B0B"/>
  <w16cid:commentId w16cid:paraId="5CB416D7" w16cid:durableId="243C3BE9"/>
  <w16cid:commentId w16cid:paraId="32A3D5CF" w16cid:durableId="243C3B3D"/>
  <w16cid:commentId w16cid:paraId="2F598FED" w16cid:durableId="243C3C18"/>
  <w16cid:commentId w16cid:paraId="50152305" w16cid:durableId="243C3C3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7E850" w14:textId="77777777" w:rsidR="00662525" w:rsidRDefault="00662525">
      <w:r>
        <w:separator/>
      </w:r>
    </w:p>
  </w:endnote>
  <w:endnote w:type="continuationSeparator" w:id="0">
    <w:p w14:paraId="70AE8F86" w14:textId="77777777" w:rsidR="00662525" w:rsidRDefault="0066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CDFD8" w14:textId="77777777" w:rsidR="00662525" w:rsidRDefault="00662525">
      <w:r>
        <w:separator/>
      </w:r>
    </w:p>
  </w:footnote>
  <w:footnote w:type="continuationSeparator" w:id="0">
    <w:p w14:paraId="04408F9E" w14:textId="77777777" w:rsidR="00662525" w:rsidRDefault="00662525">
      <w:r>
        <w:continuationSeparator/>
      </w:r>
    </w:p>
  </w:footnote>
  <w:footnote w:id="1">
    <w:p w14:paraId="79EE74EC" w14:textId="77777777" w:rsidR="00D53E86" w:rsidRPr="00FB69AE" w:rsidRDefault="00D53E86" w:rsidP="002014D3">
      <w:r w:rsidRPr="00A115D2">
        <w:rPr>
          <w:rStyle w:val="Funotenzeichen"/>
        </w:rPr>
        <w:footnoteRef/>
      </w:r>
      <w:r w:rsidRPr="00D53E86">
        <w:t xml:space="preserve"> </w:t>
      </w:r>
      <w:r w:rsidR="0011623A">
        <w:t>Jungautor, Heßbrühlstraße 49a, 70565 Stuttgart</w:t>
      </w:r>
      <w:r w:rsidR="00E520E6">
        <w:t xml:space="preserve">, </w:t>
      </w:r>
      <w:hyperlink r:id="rId1" w:history="1">
        <w:r w:rsidR="0011623A" w:rsidRPr="00C5602E">
          <w:rPr>
            <w:rStyle w:val="Hyperlink"/>
          </w:rPr>
          <w:t>maximilian.schulz@ier.uni-stuttgart.de</w:t>
        </w:r>
      </w:hyperlink>
      <w:r w:rsidR="0011623A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53381"/>
    <w:multiLevelType w:val="hybridMultilevel"/>
    <w:tmpl w:val="A35CA3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75967"/>
    <w:multiLevelType w:val="multilevel"/>
    <w:tmpl w:val="0978BA90"/>
    <w:numStyleLink w:val="Aufzhlung"/>
  </w:abstractNum>
  <w:abstractNum w:abstractNumId="4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01BB3"/>
    <w:rsid w:val="00010E92"/>
    <w:rsid w:val="000145F1"/>
    <w:rsid w:val="00020553"/>
    <w:rsid w:val="00022A1C"/>
    <w:rsid w:val="00026EDA"/>
    <w:rsid w:val="00030333"/>
    <w:rsid w:val="00044FEF"/>
    <w:rsid w:val="0005195A"/>
    <w:rsid w:val="00053C37"/>
    <w:rsid w:val="00055BC9"/>
    <w:rsid w:val="000565D3"/>
    <w:rsid w:val="00060A31"/>
    <w:rsid w:val="00063502"/>
    <w:rsid w:val="00071B0F"/>
    <w:rsid w:val="00073E76"/>
    <w:rsid w:val="00082E78"/>
    <w:rsid w:val="000B6B33"/>
    <w:rsid w:val="000C5245"/>
    <w:rsid w:val="000C5545"/>
    <w:rsid w:val="000D0D2A"/>
    <w:rsid w:val="000D2EA7"/>
    <w:rsid w:val="000D598D"/>
    <w:rsid w:val="000D6703"/>
    <w:rsid w:val="000E29AE"/>
    <w:rsid w:val="000E3957"/>
    <w:rsid w:val="000F495A"/>
    <w:rsid w:val="000F66FF"/>
    <w:rsid w:val="00104CE8"/>
    <w:rsid w:val="00104F76"/>
    <w:rsid w:val="00114C5F"/>
    <w:rsid w:val="001155BE"/>
    <w:rsid w:val="0011623A"/>
    <w:rsid w:val="00116EE2"/>
    <w:rsid w:val="0013311A"/>
    <w:rsid w:val="00140E62"/>
    <w:rsid w:val="00157964"/>
    <w:rsid w:val="0016405B"/>
    <w:rsid w:val="00171804"/>
    <w:rsid w:val="001729EE"/>
    <w:rsid w:val="00174B43"/>
    <w:rsid w:val="0019430E"/>
    <w:rsid w:val="001A2726"/>
    <w:rsid w:val="001A3A6B"/>
    <w:rsid w:val="001A414A"/>
    <w:rsid w:val="001A5966"/>
    <w:rsid w:val="001B668F"/>
    <w:rsid w:val="001D4E15"/>
    <w:rsid w:val="002014D3"/>
    <w:rsid w:val="002040FB"/>
    <w:rsid w:val="00213CCE"/>
    <w:rsid w:val="002171D3"/>
    <w:rsid w:val="00220F68"/>
    <w:rsid w:val="002210D5"/>
    <w:rsid w:val="0022668D"/>
    <w:rsid w:val="00227125"/>
    <w:rsid w:val="00244693"/>
    <w:rsid w:val="00253418"/>
    <w:rsid w:val="002615AC"/>
    <w:rsid w:val="00262FD5"/>
    <w:rsid w:val="002721F5"/>
    <w:rsid w:val="0027653C"/>
    <w:rsid w:val="00282A43"/>
    <w:rsid w:val="00283AEA"/>
    <w:rsid w:val="0029075F"/>
    <w:rsid w:val="002946B8"/>
    <w:rsid w:val="002A16A1"/>
    <w:rsid w:val="002C07D9"/>
    <w:rsid w:val="002C24DD"/>
    <w:rsid w:val="002C67D1"/>
    <w:rsid w:val="002D610E"/>
    <w:rsid w:val="002E506F"/>
    <w:rsid w:val="002F0D31"/>
    <w:rsid w:val="002F5B5D"/>
    <w:rsid w:val="00302AE2"/>
    <w:rsid w:val="00303881"/>
    <w:rsid w:val="00314E53"/>
    <w:rsid w:val="00322240"/>
    <w:rsid w:val="00322797"/>
    <w:rsid w:val="003326BB"/>
    <w:rsid w:val="00343A61"/>
    <w:rsid w:val="00350F98"/>
    <w:rsid w:val="00355C08"/>
    <w:rsid w:val="003601F9"/>
    <w:rsid w:val="00371C6F"/>
    <w:rsid w:val="00372E07"/>
    <w:rsid w:val="0037397D"/>
    <w:rsid w:val="00376276"/>
    <w:rsid w:val="00380914"/>
    <w:rsid w:val="00384AFF"/>
    <w:rsid w:val="00391CE6"/>
    <w:rsid w:val="003A5976"/>
    <w:rsid w:val="003A73D7"/>
    <w:rsid w:val="003B0B75"/>
    <w:rsid w:val="003B4E5D"/>
    <w:rsid w:val="003B676F"/>
    <w:rsid w:val="003C0D33"/>
    <w:rsid w:val="003C28FE"/>
    <w:rsid w:val="003D3138"/>
    <w:rsid w:val="003D5D96"/>
    <w:rsid w:val="003E0CFB"/>
    <w:rsid w:val="003E724B"/>
    <w:rsid w:val="003F0156"/>
    <w:rsid w:val="003F27F4"/>
    <w:rsid w:val="00404EC2"/>
    <w:rsid w:val="00405973"/>
    <w:rsid w:val="00413B9C"/>
    <w:rsid w:val="00426BB0"/>
    <w:rsid w:val="00427954"/>
    <w:rsid w:val="004305E9"/>
    <w:rsid w:val="00431998"/>
    <w:rsid w:val="004353C6"/>
    <w:rsid w:val="00436A14"/>
    <w:rsid w:val="0045529E"/>
    <w:rsid w:val="004554FF"/>
    <w:rsid w:val="00462B8D"/>
    <w:rsid w:val="0047461E"/>
    <w:rsid w:val="00483B87"/>
    <w:rsid w:val="004869DD"/>
    <w:rsid w:val="004A3272"/>
    <w:rsid w:val="004A7030"/>
    <w:rsid w:val="004B07B6"/>
    <w:rsid w:val="004B22B6"/>
    <w:rsid w:val="004B281B"/>
    <w:rsid w:val="004B67CA"/>
    <w:rsid w:val="004C01B4"/>
    <w:rsid w:val="004C0302"/>
    <w:rsid w:val="004C058D"/>
    <w:rsid w:val="004D10B5"/>
    <w:rsid w:val="004F01F1"/>
    <w:rsid w:val="0050700B"/>
    <w:rsid w:val="005125B5"/>
    <w:rsid w:val="00515C3C"/>
    <w:rsid w:val="0052372B"/>
    <w:rsid w:val="0053262E"/>
    <w:rsid w:val="00535DD2"/>
    <w:rsid w:val="00553547"/>
    <w:rsid w:val="00554EB7"/>
    <w:rsid w:val="0056173D"/>
    <w:rsid w:val="00565B5B"/>
    <w:rsid w:val="00570376"/>
    <w:rsid w:val="005773AB"/>
    <w:rsid w:val="005807D6"/>
    <w:rsid w:val="005B1ADB"/>
    <w:rsid w:val="005B4FF8"/>
    <w:rsid w:val="005B5DF8"/>
    <w:rsid w:val="005D2B4E"/>
    <w:rsid w:val="005D7A3C"/>
    <w:rsid w:val="005D7B69"/>
    <w:rsid w:val="005E4D4F"/>
    <w:rsid w:val="0060657A"/>
    <w:rsid w:val="006074A2"/>
    <w:rsid w:val="00622B71"/>
    <w:rsid w:val="0063407E"/>
    <w:rsid w:val="00637651"/>
    <w:rsid w:val="0064228A"/>
    <w:rsid w:val="00646086"/>
    <w:rsid w:val="0065039A"/>
    <w:rsid w:val="00651078"/>
    <w:rsid w:val="006620DE"/>
    <w:rsid w:val="00662469"/>
    <w:rsid w:val="00662525"/>
    <w:rsid w:val="006657B6"/>
    <w:rsid w:val="006715F1"/>
    <w:rsid w:val="006758FF"/>
    <w:rsid w:val="006B56E5"/>
    <w:rsid w:val="006B5745"/>
    <w:rsid w:val="006C17BF"/>
    <w:rsid w:val="006C1B75"/>
    <w:rsid w:val="006C52B8"/>
    <w:rsid w:val="006D5E22"/>
    <w:rsid w:val="006E4476"/>
    <w:rsid w:val="006E7C1A"/>
    <w:rsid w:val="006F3046"/>
    <w:rsid w:val="006F538F"/>
    <w:rsid w:val="006F5D49"/>
    <w:rsid w:val="007024E8"/>
    <w:rsid w:val="00702C36"/>
    <w:rsid w:val="00707FB2"/>
    <w:rsid w:val="00722F8F"/>
    <w:rsid w:val="007270FD"/>
    <w:rsid w:val="007378C8"/>
    <w:rsid w:val="00740251"/>
    <w:rsid w:val="00740A97"/>
    <w:rsid w:val="00741EC0"/>
    <w:rsid w:val="007534E3"/>
    <w:rsid w:val="00767082"/>
    <w:rsid w:val="0076730C"/>
    <w:rsid w:val="0079524F"/>
    <w:rsid w:val="007971C5"/>
    <w:rsid w:val="007B7081"/>
    <w:rsid w:val="007C1D4B"/>
    <w:rsid w:val="007C2024"/>
    <w:rsid w:val="007C4372"/>
    <w:rsid w:val="007E3258"/>
    <w:rsid w:val="007E40AF"/>
    <w:rsid w:val="00801A02"/>
    <w:rsid w:val="008032A7"/>
    <w:rsid w:val="00803917"/>
    <w:rsid w:val="0081155F"/>
    <w:rsid w:val="00816FFA"/>
    <w:rsid w:val="008210FE"/>
    <w:rsid w:val="00823E87"/>
    <w:rsid w:val="008311FA"/>
    <w:rsid w:val="008315C8"/>
    <w:rsid w:val="0083217F"/>
    <w:rsid w:val="00870CA5"/>
    <w:rsid w:val="00887CE6"/>
    <w:rsid w:val="008B2279"/>
    <w:rsid w:val="008C054E"/>
    <w:rsid w:val="008D331B"/>
    <w:rsid w:val="008D7456"/>
    <w:rsid w:val="008E07B4"/>
    <w:rsid w:val="008F04EA"/>
    <w:rsid w:val="008F0CED"/>
    <w:rsid w:val="008F7517"/>
    <w:rsid w:val="00900890"/>
    <w:rsid w:val="00934BDC"/>
    <w:rsid w:val="009445DF"/>
    <w:rsid w:val="009506BC"/>
    <w:rsid w:val="009549B3"/>
    <w:rsid w:val="00956611"/>
    <w:rsid w:val="00961BBC"/>
    <w:rsid w:val="009648E0"/>
    <w:rsid w:val="00976F7F"/>
    <w:rsid w:val="00992938"/>
    <w:rsid w:val="00992993"/>
    <w:rsid w:val="009A620A"/>
    <w:rsid w:val="009B18C3"/>
    <w:rsid w:val="009C0917"/>
    <w:rsid w:val="009E346C"/>
    <w:rsid w:val="009E413E"/>
    <w:rsid w:val="009E5607"/>
    <w:rsid w:val="00A001D1"/>
    <w:rsid w:val="00A038BA"/>
    <w:rsid w:val="00A06B18"/>
    <w:rsid w:val="00A07737"/>
    <w:rsid w:val="00A12128"/>
    <w:rsid w:val="00A156E4"/>
    <w:rsid w:val="00A56922"/>
    <w:rsid w:val="00A60D27"/>
    <w:rsid w:val="00A6148D"/>
    <w:rsid w:val="00A67ACC"/>
    <w:rsid w:val="00A71581"/>
    <w:rsid w:val="00A84C42"/>
    <w:rsid w:val="00AB307A"/>
    <w:rsid w:val="00AC12C4"/>
    <w:rsid w:val="00AC556D"/>
    <w:rsid w:val="00AC6226"/>
    <w:rsid w:val="00B03467"/>
    <w:rsid w:val="00B052DA"/>
    <w:rsid w:val="00B07D0E"/>
    <w:rsid w:val="00B217B9"/>
    <w:rsid w:val="00B31BD0"/>
    <w:rsid w:val="00B32290"/>
    <w:rsid w:val="00B4194E"/>
    <w:rsid w:val="00B45ED9"/>
    <w:rsid w:val="00B60572"/>
    <w:rsid w:val="00B6291D"/>
    <w:rsid w:val="00B77963"/>
    <w:rsid w:val="00B84CBF"/>
    <w:rsid w:val="00BB3B29"/>
    <w:rsid w:val="00BB3D05"/>
    <w:rsid w:val="00BB4147"/>
    <w:rsid w:val="00BB54D8"/>
    <w:rsid w:val="00BB7FCA"/>
    <w:rsid w:val="00BD26D0"/>
    <w:rsid w:val="00BF05FA"/>
    <w:rsid w:val="00C1292F"/>
    <w:rsid w:val="00C23F7C"/>
    <w:rsid w:val="00C36ABF"/>
    <w:rsid w:val="00C50C46"/>
    <w:rsid w:val="00C57DA5"/>
    <w:rsid w:val="00C678C5"/>
    <w:rsid w:val="00C801DA"/>
    <w:rsid w:val="00C848C3"/>
    <w:rsid w:val="00C914C1"/>
    <w:rsid w:val="00C930A6"/>
    <w:rsid w:val="00CA36A9"/>
    <w:rsid w:val="00CA6999"/>
    <w:rsid w:val="00CB0B7C"/>
    <w:rsid w:val="00CB492B"/>
    <w:rsid w:val="00CC271E"/>
    <w:rsid w:val="00CC5E0E"/>
    <w:rsid w:val="00CC6D70"/>
    <w:rsid w:val="00CD29CA"/>
    <w:rsid w:val="00CD3434"/>
    <w:rsid w:val="00CD7FC5"/>
    <w:rsid w:val="00CE1A70"/>
    <w:rsid w:val="00CE4F2B"/>
    <w:rsid w:val="00CF100A"/>
    <w:rsid w:val="00CF5784"/>
    <w:rsid w:val="00D058E6"/>
    <w:rsid w:val="00D1496A"/>
    <w:rsid w:val="00D21748"/>
    <w:rsid w:val="00D27050"/>
    <w:rsid w:val="00D31737"/>
    <w:rsid w:val="00D34E1C"/>
    <w:rsid w:val="00D534D0"/>
    <w:rsid w:val="00D53E86"/>
    <w:rsid w:val="00D54ECA"/>
    <w:rsid w:val="00D56FAA"/>
    <w:rsid w:val="00D6525C"/>
    <w:rsid w:val="00D6612C"/>
    <w:rsid w:val="00D736F8"/>
    <w:rsid w:val="00D84BBD"/>
    <w:rsid w:val="00D867B1"/>
    <w:rsid w:val="00D93EEF"/>
    <w:rsid w:val="00DA0D54"/>
    <w:rsid w:val="00DA2389"/>
    <w:rsid w:val="00DA59CA"/>
    <w:rsid w:val="00DB0453"/>
    <w:rsid w:val="00DB7AC1"/>
    <w:rsid w:val="00DC5724"/>
    <w:rsid w:val="00DC7487"/>
    <w:rsid w:val="00DD1858"/>
    <w:rsid w:val="00DD572D"/>
    <w:rsid w:val="00DD7FA4"/>
    <w:rsid w:val="00DE64B3"/>
    <w:rsid w:val="00DF35F0"/>
    <w:rsid w:val="00DF64B3"/>
    <w:rsid w:val="00E01781"/>
    <w:rsid w:val="00E0589B"/>
    <w:rsid w:val="00E16BB3"/>
    <w:rsid w:val="00E22E48"/>
    <w:rsid w:val="00E51748"/>
    <w:rsid w:val="00E520E6"/>
    <w:rsid w:val="00E52B4D"/>
    <w:rsid w:val="00E66A0D"/>
    <w:rsid w:val="00E800AF"/>
    <w:rsid w:val="00E80528"/>
    <w:rsid w:val="00E80D29"/>
    <w:rsid w:val="00E851AF"/>
    <w:rsid w:val="00E852EF"/>
    <w:rsid w:val="00E8626F"/>
    <w:rsid w:val="00E86B95"/>
    <w:rsid w:val="00E923B2"/>
    <w:rsid w:val="00E92424"/>
    <w:rsid w:val="00EB0D82"/>
    <w:rsid w:val="00EC5577"/>
    <w:rsid w:val="00EC68B0"/>
    <w:rsid w:val="00ED135A"/>
    <w:rsid w:val="00ED3C51"/>
    <w:rsid w:val="00EE5B91"/>
    <w:rsid w:val="00EF37C0"/>
    <w:rsid w:val="00EF42DB"/>
    <w:rsid w:val="00F00E24"/>
    <w:rsid w:val="00F03ED2"/>
    <w:rsid w:val="00F15CDA"/>
    <w:rsid w:val="00F171C2"/>
    <w:rsid w:val="00F22F31"/>
    <w:rsid w:val="00F23D87"/>
    <w:rsid w:val="00F255FE"/>
    <w:rsid w:val="00F25B2A"/>
    <w:rsid w:val="00F25E12"/>
    <w:rsid w:val="00F32B17"/>
    <w:rsid w:val="00F33C91"/>
    <w:rsid w:val="00F47274"/>
    <w:rsid w:val="00F52653"/>
    <w:rsid w:val="00F54424"/>
    <w:rsid w:val="00F637D2"/>
    <w:rsid w:val="00F71051"/>
    <w:rsid w:val="00F72A7F"/>
    <w:rsid w:val="00F77D81"/>
    <w:rsid w:val="00F80067"/>
    <w:rsid w:val="00F82BD6"/>
    <w:rsid w:val="00F862F0"/>
    <w:rsid w:val="00F933A0"/>
    <w:rsid w:val="00FA6860"/>
    <w:rsid w:val="00FA7E26"/>
    <w:rsid w:val="00FB69AE"/>
    <w:rsid w:val="00FC577F"/>
    <w:rsid w:val="00FD2374"/>
    <w:rsid w:val="00FD5D56"/>
    <w:rsid w:val="00FF28CC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28960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1623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3E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3E8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3E87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E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3E87"/>
    <w:rPr>
      <w:rFonts w:ascii="Arial" w:hAnsi="Arial"/>
      <w:b/>
      <w:bCs/>
      <w:lang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3E8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3E87"/>
    <w:rPr>
      <w:rFonts w:ascii="Segoe UI" w:hAnsi="Segoe UI" w:cs="Segoe UI"/>
      <w:sz w:val="18"/>
      <w:szCs w:val="18"/>
      <w:lang w:eastAsia="ko-KR"/>
    </w:rPr>
  </w:style>
  <w:style w:type="paragraph" w:styleId="Beschriftung">
    <w:name w:val="caption"/>
    <w:basedOn w:val="Standard"/>
    <w:next w:val="Standard"/>
    <w:uiPriority w:val="35"/>
    <w:unhideWhenUsed/>
    <w:qFormat/>
    <w:rsid w:val="00D93EEF"/>
    <w:pPr>
      <w:spacing w:after="200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F63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ximilian.schulz@ier.uni-stuttgar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Maximilian Schulz</cp:lastModifiedBy>
  <cp:revision>245</cp:revision>
  <dcterms:created xsi:type="dcterms:W3CDTF">2021-05-04T18:53:00Z</dcterms:created>
  <dcterms:modified xsi:type="dcterms:W3CDTF">2021-05-31T10:20:00Z</dcterms:modified>
</cp:coreProperties>
</file>