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A53B" w14:textId="3D3A2570" w:rsidR="005E4D4F" w:rsidRPr="005E4D4F" w:rsidRDefault="00CB384C" w:rsidP="005E4D4F">
      <w:pPr>
        <w:pStyle w:val="Abstract-Titel"/>
      </w:pPr>
      <w:r>
        <w:t>Die Notwendigkeit negativer Emission</w:t>
      </w:r>
      <w:r w:rsidR="003414EB">
        <w:t>en</w:t>
      </w:r>
      <w:r>
        <w:t xml:space="preserve"> für ein</w:t>
      </w:r>
      <w:r w:rsidR="003414EB">
        <w:t xml:space="preserve"> </w:t>
      </w:r>
      <w:r>
        <w:t>treibhausgasneutrales Deutschland – eine modellgestützte Analyse</w:t>
      </w:r>
    </w:p>
    <w:p w14:paraId="433CA918" w14:textId="255A32E7" w:rsidR="00BF05FA" w:rsidRDefault="00CB384C" w:rsidP="00A156E4">
      <w:pPr>
        <w:pStyle w:val="AutorenOrganisation"/>
      </w:pPr>
      <w:r>
        <w:t>1: Energie- / Klimapolitik</w:t>
      </w:r>
    </w:p>
    <w:p w14:paraId="0E23BD7C" w14:textId="10272F54" w:rsidR="009365C1" w:rsidRDefault="00CB384C" w:rsidP="00B7143D">
      <w:pPr>
        <w:pStyle w:val="AutorenOrganisation"/>
      </w:pPr>
      <w:r>
        <w:t>Thomas</w:t>
      </w:r>
      <w:r w:rsidR="005E4D4F" w:rsidRPr="005E4D4F">
        <w:t xml:space="preserve"> </w:t>
      </w:r>
      <w:r>
        <w:t>SCHÖB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Peter</w:t>
      </w:r>
      <w:r w:rsidR="00010E92" w:rsidRPr="005E4D4F">
        <w:t xml:space="preserve"> </w:t>
      </w:r>
      <w:r w:rsidR="00B7143D">
        <w:t>MARKEWITZ</w:t>
      </w:r>
      <w:r w:rsidR="00B7143D" w:rsidRPr="00A156E4">
        <w:rPr>
          <w:vertAlign w:val="superscript"/>
        </w:rPr>
        <w:t xml:space="preserve"> 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  <w:r w:rsidRPr="005E4D4F">
        <w:t xml:space="preserve">, </w:t>
      </w:r>
      <w:r>
        <w:t xml:space="preserve">Leander </w:t>
      </w:r>
      <w:r w:rsidR="00B7143D">
        <w:t>KOTZUR</w:t>
      </w:r>
      <w:r w:rsidR="00B7143D" w:rsidRPr="00A156E4">
        <w:rPr>
          <w:vertAlign w:val="superscript"/>
        </w:rPr>
        <w:t xml:space="preserve"> (</w:t>
      </w:r>
      <w:r>
        <w:rPr>
          <w:vertAlign w:val="superscript"/>
        </w:rPr>
        <w:t>1)</w:t>
      </w:r>
      <w:r w:rsidR="009365C1">
        <w:t xml:space="preserve">, </w:t>
      </w:r>
      <w:r>
        <w:t>Detlef</w:t>
      </w:r>
      <w:r w:rsidRPr="005E4D4F">
        <w:t xml:space="preserve"> </w:t>
      </w:r>
      <w:r w:rsidR="00B7143D">
        <w:t>STOLTEN</w:t>
      </w:r>
      <w:r w:rsidR="00B7143D" w:rsidRPr="00A156E4">
        <w:rPr>
          <w:vertAlign w:val="superscript"/>
        </w:rPr>
        <w:t xml:space="preserve"> (</w:t>
      </w:r>
      <w:r>
        <w:rPr>
          <w:vertAlign w:val="superscript"/>
        </w:rPr>
        <w:t xml:space="preserve">1,2) </w:t>
      </w:r>
      <w:r w:rsidR="00C66FB9">
        <w:rPr>
          <w:vertAlign w:val="superscript"/>
        </w:rPr>
        <w:tab/>
      </w:r>
      <w:r w:rsidR="00A156E4">
        <w:rPr>
          <w:vertAlign w:val="superscript"/>
        </w:rPr>
        <w:t>(</w:t>
      </w:r>
      <w:r w:rsidR="00C66FB9" w:rsidRPr="00010E92">
        <w:rPr>
          <w:vertAlign w:val="superscript"/>
        </w:rPr>
        <w:t>1</w:t>
      </w:r>
      <w:r w:rsidR="00C66FB9">
        <w:rPr>
          <w:vertAlign w:val="superscript"/>
        </w:rPr>
        <w:t>)</w:t>
      </w:r>
      <w:r w:rsidR="00C66FB9" w:rsidRPr="009365C1">
        <w:rPr>
          <w:sz w:val="20"/>
          <w:szCs w:val="20"/>
        </w:rPr>
        <w:t xml:space="preserve"> Institut</w:t>
      </w:r>
      <w:r w:rsidR="009365C1" w:rsidRPr="009365C1">
        <w:rPr>
          <w:sz w:val="20"/>
          <w:szCs w:val="20"/>
        </w:rPr>
        <w:t xml:space="preserve"> für Energie- und Klimaforschung: Techno-ökonomische Systemanalyse (IEK-3), Forschungszentrum Jülich GmbH, D-52425 Jülich</w:t>
      </w:r>
      <w:r w:rsidR="00010E92" w:rsidRPr="009365C1">
        <w:rPr>
          <w:sz w:val="20"/>
          <w:szCs w:val="20"/>
        </w:rPr>
        <w:t>,</w:t>
      </w:r>
    </w:p>
    <w:p w14:paraId="0AF1C030" w14:textId="00A6A683" w:rsidR="005E4D4F" w:rsidRPr="009365C1" w:rsidRDefault="00A156E4" w:rsidP="00B7143D">
      <w:pPr>
        <w:pStyle w:val="AutorenOrganisation"/>
        <w:rPr>
          <w:lang w:val="de-DE"/>
        </w:rPr>
      </w:pPr>
      <w:r w:rsidRPr="00A156E4">
        <w:rPr>
          <w:vertAlign w:val="superscript"/>
        </w:rPr>
        <w:t>(</w:t>
      </w:r>
      <w:r w:rsidR="00B7143D" w:rsidRPr="00010E92">
        <w:rPr>
          <w:vertAlign w:val="superscript"/>
        </w:rPr>
        <w:t>2</w:t>
      </w:r>
      <w:r w:rsidR="00B7143D">
        <w:rPr>
          <w:vertAlign w:val="superscript"/>
        </w:rPr>
        <w:t>)</w:t>
      </w:r>
      <w:r w:rsidR="00B7143D" w:rsidRPr="009365C1">
        <w:rPr>
          <w:sz w:val="20"/>
          <w:szCs w:val="20"/>
        </w:rPr>
        <w:t xml:space="preserve"> Lehrstuhl</w:t>
      </w:r>
      <w:r w:rsidR="009365C1" w:rsidRPr="009365C1">
        <w:rPr>
          <w:sz w:val="20"/>
          <w:szCs w:val="20"/>
        </w:rPr>
        <w:t xml:space="preserve"> für Brennstoffzellen, RWTH Aachen University c/o </w:t>
      </w:r>
      <w:r w:rsidR="009365C1" w:rsidRPr="009365C1">
        <w:rPr>
          <w:sz w:val="20"/>
          <w:szCs w:val="20"/>
          <w:lang w:val="de-DE"/>
        </w:rPr>
        <w:t>Institut für Energie- und Klimaforschung: Techno-ökonomische Systemanalyse (IEK-3),</w:t>
      </w:r>
      <w:r w:rsidR="00B7143D">
        <w:rPr>
          <w:sz w:val="20"/>
          <w:szCs w:val="20"/>
          <w:lang w:val="de-DE"/>
        </w:rPr>
        <w:t xml:space="preserve"> </w:t>
      </w:r>
      <w:r w:rsidR="009365C1" w:rsidRPr="009365C1">
        <w:rPr>
          <w:sz w:val="20"/>
          <w:szCs w:val="20"/>
          <w:lang w:val="de-DE"/>
        </w:rPr>
        <w:t>Forschungszentrum Jülich GmbH, D-52425 Jülich</w:t>
      </w:r>
    </w:p>
    <w:p w14:paraId="776695D9" w14:textId="77777777" w:rsidR="00A07737" w:rsidRPr="005E4D4F" w:rsidRDefault="00A07737" w:rsidP="00FB69AE">
      <w:pPr>
        <w:rPr>
          <w:lang w:val="de-AT"/>
        </w:rPr>
      </w:pPr>
    </w:p>
    <w:p w14:paraId="358FB0AD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43BF3B6C" w14:textId="2921CEEF" w:rsidR="005E4D4F" w:rsidRDefault="00EA30CA" w:rsidP="00227125">
      <w:r>
        <w:t xml:space="preserve">Die Bundesrepublik Deutschland hat sich im Bundes-Klimaschutzgesetz vom Dezember 2019 [1] dazu verpflichtet bis zum Jahr 2050 das Ziel Treibhaugasneutralität zu verfolgen. Mit seinem Beschluss vom 24. März 2021 hat das Bundesverfassungsgericht [2] </w:t>
      </w:r>
      <w:r w:rsidR="00D336FF">
        <w:t xml:space="preserve">festgestellt, dass </w:t>
      </w:r>
      <w:r>
        <w:t xml:space="preserve">dieses Gesetz </w:t>
      </w:r>
      <w:r w:rsidR="00D336FF">
        <w:t xml:space="preserve">teilweise mit den Grundrechten unvereinbar ist, da es hohe Emissionsminderungen auf die Zeit nach dem Jahr 2030 verschiebt. Als Reaktion auf dieses Urteil hat die </w:t>
      </w:r>
      <w:r w:rsidR="00510B85">
        <w:t xml:space="preserve">deutsche Bunderegierung am 11. Mai einen Gesetzentwurf zur Änderung des Bundes-Klimaschutzgesetzes vorgelegt [3]. Neben ambitionierteren Treibhausgasreduktionszielen für das Jahr 2030 wird im Entwurf vorgeschlagen die Netto-Treibhausgasneutralität schon im Jahr 2045 zu erreichen. Zudem ist nun erstmalig </w:t>
      </w:r>
      <w:r w:rsidR="0013476F">
        <w:t>der Beitrag von</w:t>
      </w:r>
      <w:r w:rsidR="00510B85">
        <w:t xml:space="preserve"> negativen </w:t>
      </w:r>
      <w:r w:rsidR="0013476F">
        <w:t>Emissionen zur Zielerreichung dargelegt, um verbleibende Treibhausgasemissionen auszugleichen. Laut Gesetzentwurf soll der Sektor Landnutzung, Landnutzungsänderung und Forstwirtschaft (LULUCF) im Jahr 2045 -40 Mt CO</w:t>
      </w:r>
      <w:r w:rsidR="0013476F">
        <w:rPr>
          <w:vertAlign w:val="subscript"/>
        </w:rPr>
        <w:t>2</w:t>
      </w:r>
      <w:r w:rsidR="0013476F">
        <w:t xml:space="preserve">-äquivalente zur Erreichung der Netto-Treibhausgasneutralität beitragen, wobei der Beitrag des LULUCF-Sektors </w:t>
      </w:r>
      <w:r w:rsidR="003E3FED">
        <w:t>im Jahr 20</w:t>
      </w:r>
      <w:r w:rsidR="00037445">
        <w:t>2</w:t>
      </w:r>
      <w:r w:rsidR="003E3FED">
        <w:t xml:space="preserve">0 </w:t>
      </w:r>
      <w:r w:rsidR="0013476F">
        <w:t>bei -16,5 Mt CO</w:t>
      </w:r>
      <w:r w:rsidR="0013476F">
        <w:rPr>
          <w:vertAlign w:val="subscript"/>
        </w:rPr>
        <w:t>2</w:t>
      </w:r>
      <w:r w:rsidR="0013476F">
        <w:t>-äquivalente l</w:t>
      </w:r>
      <w:r w:rsidR="00037445">
        <w:t>ag</w:t>
      </w:r>
      <w:r w:rsidR="0013476F">
        <w:t xml:space="preserve"> [4]. Ziel dieser </w:t>
      </w:r>
      <w:r w:rsidR="009275F6">
        <w:t>A</w:t>
      </w:r>
      <w:r w:rsidR="003358D2">
        <w:t>nalyse</w:t>
      </w:r>
      <w:r w:rsidR="009275F6">
        <w:t xml:space="preserve"> ist es aufzuzeigen, dass für ein treibhausgasneutrales Deutschland negative Emissionen notwendig sind, unabhängig </w:t>
      </w:r>
      <w:r w:rsidR="004D1E22">
        <w:t>davon,</w:t>
      </w:r>
      <w:r w:rsidR="009275F6">
        <w:t xml:space="preserve"> ob die Treibhausgasneutralität im Jahr 2045 oder 2050 erreicht werden soll.</w:t>
      </w:r>
    </w:p>
    <w:p w14:paraId="30B64719" w14:textId="77777777" w:rsidR="00AD5E01" w:rsidRPr="005E4D4F" w:rsidRDefault="00AD5E01" w:rsidP="00227125"/>
    <w:p w14:paraId="1A57680B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5E785630" w14:textId="0CE2C377" w:rsidR="005E4D4F" w:rsidRDefault="00C448E8" w:rsidP="00227125">
      <w:r>
        <w:t xml:space="preserve">Die Analyse kostenoptimaler Emissionsminderungsstrategien bis hin zur Treibhausgasneutralität </w:t>
      </w:r>
      <w:r w:rsidR="003358D2">
        <w:t>erfolgt mit dem Optimierungsmodell FINE-NESTOR</w:t>
      </w:r>
      <w:r w:rsidR="00BE4B11">
        <w:t xml:space="preserve"> [5]</w:t>
      </w:r>
      <w:r>
        <w:t xml:space="preserve">, welches am </w:t>
      </w:r>
      <w:r w:rsidR="003358D2">
        <w:t>Institut für techno-ökonomische Systemanalyse (</w:t>
      </w:r>
      <w:r>
        <w:t>IEK-3</w:t>
      </w:r>
      <w:r w:rsidR="003358D2">
        <w:t>)</w:t>
      </w:r>
      <w:r>
        <w:t xml:space="preserve"> des Forschungszentrum Jülichs entwickelt w</w:t>
      </w:r>
      <w:r w:rsidR="003358D2">
        <w:t>urde und welches das deutsche Energiesystem abbildet</w:t>
      </w:r>
      <w:r>
        <w:t>. D</w:t>
      </w:r>
      <w:r w:rsidR="003358D2">
        <w:t>as integrierte Energiesystemmodell</w:t>
      </w:r>
      <w:r>
        <w:t xml:space="preserve"> bildet die Sektoren Energiewirtschaft, Industrie, Gebäude und Verkehr detailliert </w:t>
      </w:r>
      <w:r w:rsidR="006B4680">
        <w:t xml:space="preserve">stündlich aufgelöst </w:t>
      </w:r>
      <w:r>
        <w:t>durch ein Netzwerk aus Energiequellen, Transformationsprozessen, Speichern und Energienachfragen ab</w:t>
      </w:r>
      <w:r w:rsidR="00BE4B11">
        <w:t xml:space="preserve"> [6]</w:t>
      </w:r>
      <w:r>
        <w:t>. Alle CO</w:t>
      </w:r>
      <w:r>
        <w:rPr>
          <w:vertAlign w:val="subscript"/>
        </w:rPr>
        <w:t>2</w:t>
      </w:r>
      <w:r>
        <w:t xml:space="preserve">-Emissionen dieser Sektoren </w:t>
      </w:r>
      <w:r w:rsidR="002A3BDC">
        <w:t>sind durch die jeweiligen Prozesse in der Emissionsbilanz des Modells abgebildet. Nicht-CO</w:t>
      </w:r>
      <w:r w:rsidR="002A3BDC">
        <w:rPr>
          <w:vertAlign w:val="subscript"/>
        </w:rPr>
        <w:t>2</w:t>
      </w:r>
      <w:r w:rsidR="002A3BDC">
        <w:t xml:space="preserve">-Emissionen (z.B. Methan- oder Stickoxidemissionen) aus den </w:t>
      </w:r>
      <w:r w:rsidR="00037445">
        <w:t>modellierten</w:t>
      </w:r>
      <w:r w:rsidR="002A3BDC">
        <w:t xml:space="preserve"> Sektoren und den Sektoren Landwirtschaft sowie Abfallwirtschaft werden in der Treibhausgasbilanz durch exogen vorgegebene Emissionspfade berücksichtigt. </w:t>
      </w:r>
      <w:r w:rsidR="000F7579">
        <w:t>Zur Erreichung der Netto-Treibhausgasneutralität stehen im Modell negative Emissionstechnologien zur Verfügung, die verbleibende Emissionen</w:t>
      </w:r>
      <w:r w:rsidR="003358D2">
        <w:t xml:space="preserve"> (z.B. Prozessemissionen)</w:t>
      </w:r>
      <w:r w:rsidR="000F7579">
        <w:t xml:space="preserve"> kompensieren können. Dazu können CO</w:t>
      </w:r>
      <w:r w:rsidR="000F7579">
        <w:rPr>
          <w:vertAlign w:val="subscript"/>
        </w:rPr>
        <w:t>2</w:t>
      </w:r>
      <w:r w:rsidR="000F7579">
        <w:t>-Emissionen aus Gaskraftwerken oder Industrieprozessen durch Carbon Capture</w:t>
      </w:r>
      <w:r w:rsidR="006B4680">
        <w:t xml:space="preserve"> (CC)</w:t>
      </w:r>
      <w:r w:rsidR="000F7579">
        <w:t xml:space="preserve"> abgeschieden werden. Wird in diesen Prozessen Biomasse eingesetzt</w:t>
      </w:r>
      <w:r w:rsidR="000A61F3">
        <w:t xml:space="preserve"> und das entstehende CO</w:t>
      </w:r>
      <w:r w:rsidR="000A61F3">
        <w:rPr>
          <w:vertAlign w:val="subscript"/>
        </w:rPr>
        <w:t>2</w:t>
      </w:r>
      <w:r w:rsidR="000A61F3">
        <w:t xml:space="preserve"> abgeschieden, entstehen bilanziell negative Emissionen, sofern</w:t>
      </w:r>
      <w:r w:rsidR="000F7579">
        <w:t xml:space="preserve"> das CO</w:t>
      </w:r>
      <w:r w:rsidR="000F7579">
        <w:rPr>
          <w:vertAlign w:val="subscript"/>
        </w:rPr>
        <w:t>2</w:t>
      </w:r>
      <w:r w:rsidR="000F7579">
        <w:t xml:space="preserve"> entweder als Rohstoff in der Chemieindustrie eingesetzt oder permanent in CO</w:t>
      </w:r>
      <w:r w:rsidR="000F7579">
        <w:rPr>
          <w:vertAlign w:val="subscript"/>
        </w:rPr>
        <w:t>2</w:t>
      </w:r>
      <w:r w:rsidR="000F7579">
        <w:t>-Lagerstätten gespeichert w</w:t>
      </w:r>
      <w:r w:rsidR="000A61F3">
        <w:t>ird</w:t>
      </w:r>
      <w:r w:rsidR="000F7579">
        <w:t xml:space="preserve">. </w:t>
      </w:r>
      <w:r w:rsidR="004C7A81">
        <w:t>Das Potenzial zur Einspeicherung in geeigneten geologischen Lagerstätten wird in Deutschland auf eine Speicherkapazität von 12 Gt CO</w:t>
      </w:r>
      <w:r w:rsidR="004C7A81">
        <w:rPr>
          <w:vertAlign w:val="subscript"/>
        </w:rPr>
        <w:t>2</w:t>
      </w:r>
      <w:r w:rsidR="004C7A81">
        <w:t xml:space="preserve"> geschätzt [</w:t>
      </w:r>
      <w:r w:rsidR="00BE4B11">
        <w:t>7</w:t>
      </w:r>
      <w:r w:rsidR="004C7A81">
        <w:t xml:space="preserve">] und ist damit bei einer </w:t>
      </w:r>
      <w:r w:rsidR="00B64366">
        <w:t xml:space="preserve">angenommenen </w:t>
      </w:r>
      <w:r w:rsidR="004C7A81">
        <w:t xml:space="preserve">Einspeicherung von jährlich </w:t>
      </w:r>
      <w:r w:rsidR="00B64366">
        <w:t>60</w:t>
      </w:r>
      <w:r w:rsidR="004C7A81">
        <w:t xml:space="preserve"> Mt CO</w:t>
      </w:r>
      <w:r w:rsidR="004C7A81">
        <w:rPr>
          <w:vertAlign w:val="subscript"/>
        </w:rPr>
        <w:t>2</w:t>
      </w:r>
      <w:r w:rsidR="004C7A81">
        <w:t xml:space="preserve"> ausreichend für </w:t>
      </w:r>
      <w:r w:rsidR="00B64366">
        <w:t>20</w:t>
      </w:r>
      <w:r w:rsidR="004C7A81">
        <w:t xml:space="preserve">0 Jahre. </w:t>
      </w:r>
      <w:r w:rsidR="00037682">
        <w:t>Außerdem stehen dem Modell Anlagen zur direkten Abscheidung von CO</w:t>
      </w:r>
      <w:r w:rsidR="00037682">
        <w:rPr>
          <w:vertAlign w:val="subscript"/>
        </w:rPr>
        <w:t>2</w:t>
      </w:r>
      <w:r w:rsidR="00037682">
        <w:t xml:space="preserve"> </w:t>
      </w:r>
      <w:r w:rsidR="00115BAD">
        <w:t xml:space="preserve">(DAC) </w:t>
      </w:r>
      <w:r w:rsidR="00037682">
        <w:t>aus der Atmosphäre zur Verfügung, deren CO</w:t>
      </w:r>
      <w:r w:rsidR="00037682">
        <w:rPr>
          <w:vertAlign w:val="subscript"/>
        </w:rPr>
        <w:t>2</w:t>
      </w:r>
      <w:r w:rsidR="00037682">
        <w:t xml:space="preserve"> ebenfalls stofflich genutzt oder permanent gespeichert werden kann, um damit negative Emissionen zu erzeugen. </w:t>
      </w:r>
      <w:r w:rsidR="00AD5E01">
        <w:t>Negative Emissionen aus dem LULUCF-Sektor sind aufgrund der unsicheren Entwicklungen in diesem Sektor nicht Bestandteil dieser Analyse.</w:t>
      </w:r>
    </w:p>
    <w:p w14:paraId="4BED4486" w14:textId="686AA477" w:rsidR="00AD5E01" w:rsidRDefault="00AD5E01" w:rsidP="00227125"/>
    <w:p w14:paraId="5E3456A0" w14:textId="18A29D80" w:rsidR="00AD5E01" w:rsidRDefault="00AD5E01" w:rsidP="00227125"/>
    <w:p w14:paraId="3180F35E" w14:textId="77777777" w:rsidR="00AD5E01" w:rsidRPr="005E4D4F" w:rsidRDefault="00AD5E01" w:rsidP="00227125"/>
    <w:p w14:paraId="498F6094" w14:textId="77777777" w:rsidR="005E4D4F" w:rsidRPr="005E4D4F" w:rsidRDefault="005E4D4F" w:rsidP="005E4D4F">
      <w:pPr>
        <w:pStyle w:val="Ueberschrift"/>
      </w:pPr>
      <w:r w:rsidRPr="005E4D4F">
        <w:lastRenderedPageBreak/>
        <w:t>Ergebnisse und Schlussfolgerungen</w:t>
      </w:r>
    </w:p>
    <w:p w14:paraId="1C78F23F" w14:textId="7D7E9C32" w:rsidR="005E4D4F" w:rsidRPr="005E4D4F" w:rsidRDefault="0002677B" w:rsidP="00227125">
      <w:r>
        <w:t>Für die</w:t>
      </w:r>
      <w:r w:rsidR="00197550">
        <w:t>se Analyse</w:t>
      </w:r>
      <w:r>
        <w:t xml:space="preserve"> wurde ein Emissionspfad bis zur Treibhausgasneutralität im Jahr 2050 zugrunde gelegt. Eine Treibhausgasneutralität im Jahr 2045 erfordert zwangsweise </w:t>
      </w:r>
      <w:r w:rsidR="001E40A7">
        <w:t xml:space="preserve">einen höheren Anteil an negativen Emissionen, da weniger Zeit bleibt, um Effizienz- und Sanierungsmaßnahmen im Industrie- und Gebäudebereich durchzuführen und höhere Emissionen im Sektor Landwirtschaft verbleiben. Abbildung 1 zeigt die Aufteilung der Treibhausgasemissionen </w:t>
      </w:r>
      <w:r w:rsidR="007205C8">
        <w:t xml:space="preserve">nach Sektoren im Zeitverlauf vom Jahr 2020 bis zum Jahr 2050. </w:t>
      </w:r>
    </w:p>
    <w:p w14:paraId="66F2249D" w14:textId="77777777" w:rsidR="005E4D4F" w:rsidRDefault="005E4D4F" w:rsidP="00227125"/>
    <w:p w14:paraId="7273910B" w14:textId="40AA7DC0" w:rsidR="00803917" w:rsidRDefault="007205C8" w:rsidP="00227125">
      <w:r>
        <w:rPr>
          <w:noProof/>
        </w:rPr>
        <w:drawing>
          <wp:inline distT="0" distB="0" distL="0" distR="0" wp14:anchorId="460EE02C" wp14:editId="0A7DC24F">
            <wp:extent cx="5760720" cy="2867660"/>
            <wp:effectExtent l="0" t="0" r="0" b="8890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t xml:space="preserve"> </w:t>
      </w:r>
    </w:p>
    <w:p w14:paraId="5690566B" w14:textId="58C7CCBD" w:rsidR="00803917" w:rsidRPr="002946B8" w:rsidRDefault="00803917" w:rsidP="00D53E86">
      <w:pPr>
        <w:pStyle w:val="Abbildungsbeschriftung"/>
      </w:pPr>
      <w:r w:rsidRPr="002946B8">
        <w:t xml:space="preserve">Abbildung 1: </w:t>
      </w:r>
      <w:r w:rsidR="00F717D1">
        <w:t>Treibhausgasemissionen Deutschlands</w:t>
      </w:r>
      <w:r w:rsidR="0002677B">
        <w:t xml:space="preserve"> vom Jahr 2020 bis </w:t>
      </w:r>
      <w:r w:rsidR="00F717D1">
        <w:t>zur Netto-Treibhausgasneutralität im Jahr 2050</w:t>
      </w:r>
    </w:p>
    <w:p w14:paraId="7A5037C9" w14:textId="0F060478" w:rsidR="002946B8" w:rsidRDefault="002946B8" w:rsidP="00227125"/>
    <w:p w14:paraId="4B873CCE" w14:textId="0D58173A" w:rsidR="00EA30CA" w:rsidRDefault="007205C8" w:rsidP="00AD5E01">
      <w:r>
        <w:t>Während in den Sektoren Energie, Gebäude und Verkehr CO</w:t>
      </w:r>
      <w:r>
        <w:rPr>
          <w:vertAlign w:val="subscript"/>
        </w:rPr>
        <w:t>2</w:t>
      </w:r>
      <w:r>
        <w:t>-Emissionen nahezu vollständig reduziert werden, verbleiben im Industriesektor auch im Jahr 2050 noch Emissionen von 45 Mt CO</w:t>
      </w:r>
      <w:r>
        <w:rPr>
          <w:vertAlign w:val="subscript"/>
        </w:rPr>
        <w:t>2</w:t>
      </w:r>
      <w:r>
        <w:t>. Diese setzen sich zu 90</w:t>
      </w:r>
      <w:r w:rsidR="007708C4">
        <w:t xml:space="preserve"> </w:t>
      </w:r>
      <w:r>
        <w:t xml:space="preserve">% </w:t>
      </w:r>
      <w:r w:rsidR="007708C4">
        <w:t xml:space="preserve">aus Prozessemissionen zusammen, die vor allem bei der Zementproduktion oder in der Chemieindustrie entstehen und </w:t>
      </w:r>
      <w:r w:rsidR="006B4680">
        <w:t>nur durch den Einsatz von CC-Technologien</w:t>
      </w:r>
      <w:r w:rsidR="007708C4">
        <w:t xml:space="preserve"> reduziert werden können. Im Bereich der Nicht-CO</w:t>
      </w:r>
      <w:r w:rsidR="007708C4">
        <w:rPr>
          <w:vertAlign w:val="subscript"/>
        </w:rPr>
        <w:t>2</w:t>
      </w:r>
      <w:r w:rsidR="007708C4">
        <w:t xml:space="preserve">-Emissionen wächst der </w:t>
      </w:r>
      <w:r w:rsidR="003E2300">
        <w:t xml:space="preserve">relative </w:t>
      </w:r>
      <w:r w:rsidR="007708C4">
        <w:t xml:space="preserve">Anteil der Emissionen aus der Landwirtschaft von derzeit ca. 65 % auf über 90 %, da ohne Konsum- und Verhaltensänderungen nur begrenztes Potential zur Emissionsminderung in der Landwirtschaft vorhanden ist. </w:t>
      </w:r>
      <w:r w:rsidR="00434F3A">
        <w:t>Zur Kompensation dieser verbleibenden Emissionen sind negative Emissionen von -71 Mt CO</w:t>
      </w:r>
      <w:r w:rsidR="00434F3A">
        <w:rPr>
          <w:vertAlign w:val="subscript"/>
        </w:rPr>
        <w:t>2</w:t>
      </w:r>
      <w:r w:rsidR="00434F3A">
        <w:t xml:space="preserve"> notwendig. </w:t>
      </w:r>
      <w:r w:rsidR="003E2300">
        <w:t xml:space="preserve">Davon entfallen </w:t>
      </w:r>
      <w:r w:rsidR="00115BAD">
        <w:t>49 % auf die Kombination von Biomasse und C</w:t>
      </w:r>
      <w:r w:rsidR="006B4680">
        <w:t>C-</w:t>
      </w:r>
      <w:r w:rsidR="00115BAD">
        <w:t>Technologien, der verbleibende Anteil wird durch DAC-Anlagen bereitgestellt. Das abgeschiedene CO</w:t>
      </w:r>
      <w:r w:rsidR="00115BAD">
        <w:rPr>
          <w:vertAlign w:val="subscript"/>
        </w:rPr>
        <w:t>2</w:t>
      </w:r>
      <w:r w:rsidR="00115BAD">
        <w:t xml:space="preserve"> wird zu 30% als Rohstoff in der chemischen Industrie verwendet, der verbleibende Anteil wird permanent in geologischen Lagerstätten eingelagert. </w:t>
      </w:r>
      <w:r w:rsidR="00AD5E01">
        <w:t xml:space="preserve">Zusammenfassend lässt sich </w:t>
      </w:r>
      <w:r w:rsidR="00B64366">
        <w:t xml:space="preserve">somit </w:t>
      </w:r>
      <w:r w:rsidR="00AD5E01">
        <w:t xml:space="preserve">feststellen, dass die Treibhausgasneutralität in Deutschland nur durch einen erheblichen Beitrag durch negative Emissionen zu erreichen ist. </w:t>
      </w:r>
      <w:bookmarkStart w:id="0" w:name="_Toc26086066"/>
      <w:bookmarkStart w:id="1" w:name="_Toc68418491"/>
    </w:p>
    <w:p w14:paraId="4D5C9314" w14:textId="77777777" w:rsidR="006B4680" w:rsidRDefault="006B4680" w:rsidP="00A156E4">
      <w:pPr>
        <w:pStyle w:val="Ueberschrift"/>
      </w:pPr>
    </w:p>
    <w:p w14:paraId="72790FF4" w14:textId="75B98EC1" w:rsidR="005E4D4F" w:rsidRPr="005E4D4F" w:rsidRDefault="005E4D4F" w:rsidP="00A156E4">
      <w:pPr>
        <w:pStyle w:val="Ueberschrift"/>
      </w:pPr>
      <w:r w:rsidRPr="005E4D4F">
        <w:t>Literatur</w:t>
      </w:r>
      <w:bookmarkEnd w:id="0"/>
      <w:bookmarkEnd w:id="1"/>
    </w:p>
    <w:p w14:paraId="29660040" w14:textId="15524C22" w:rsidR="005E4D4F" w:rsidRDefault="00483B87" w:rsidP="00227125">
      <w:pPr>
        <w:pStyle w:val="Literatur"/>
      </w:pPr>
      <w:r>
        <w:t>[1]</w:t>
      </w:r>
      <w:r>
        <w:tab/>
      </w:r>
      <w:r w:rsidR="00EA30CA">
        <w:t>Bundes-Klimaschutzgesetz vom 12. Dezember 2019 (BGBI. I S. 2513)</w:t>
      </w:r>
    </w:p>
    <w:p w14:paraId="49244D6C" w14:textId="2CE48C9E" w:rsidR="00010E92" w:rsidRDefault="00483B87" w:rsidP="00227125">
      <w:pPr>
        <w:pStyle w:val="Literatur"/>
      </w:pPr>
      <w:r>
        <w:t>[2]</w:t>
      </w:r>
      <w:r>
        <w:tab/>
      </w:r>
      <w:r w:rsidR="00EA30CA">
        <w:t>BVerfG</w:t>
      </w:r>
      <w:r w:rsidR="00BE4B11">
        <w:t>:</w:t>
      </w:r>
      <w:r w:rsidR="00EA30CA">
        <w:t xml:space="preserve"> Beschluss des Ersten Senats vom 24. März 2021 – 1 BvR 2656/18 - Rn. 1-270</w:t>
      </w:r>
      <w:r w:rsidR="00BE4B11">
        <w:t>.</w:t>
      </w:r>
      <w:r w:rsidR="00EA30CA">
        <w:br/>
      </w:r>
      <w:hyperlink r:id="rId8" w:tgtFrame="_blank" w:history="1">
        <w:r w:rsidR="00EA30CA">
          <w:rPr>
            <w:rStyle w:val="Hyperlink"/>
          </w:rPr>
          <w:t>http://www.bverfg.de/e/rs20210324_1bvr265618.html</w:t>
        </w:r>
      </w:hyperlink>
    </w:p>
    <w:p w14:paraId="2B8C14B5" w14:textId="622CB8A6" w:rsidR="00510B85" w:rsidRPr="00227125" w:rsidRDefault="00510B85" w:rsidP="00227125">
      <w:pPr>
        <w:pStyle w:val="Literatur"/>
      </w:pPr>
      <w:r>
        <w:t>[3] Bundesministerium für Umwelt,</w:t>
      </w:r>
      <w:r w:rsidR="00BE4B11">
        <w:t xml:space="preserve"> </w:t>
      </w:r>
      <w:r>
        <w:t>Naturschutz und nukleare Sicherheit</w:t>
      </w:r>
      <w:r w:rsidR="00BE4B11">
        <w:t xml:space="preserve">: </w:t>
      </w:r>
      <w:r>
        <w:t>Entwurf eines Ersten Gesetzes zur Änderung des Bundes-Klimaschutzgesetzes</w:t>
      </w:r>
      <w:r w:rsidR="00BE4B11">
        <w:t>.</w:t>
      </w:r>
      <w:r>
        <w:t xml:space="preserve"> 11.05.2021</w:t>
      </w:r>
    </w:p>
    <w:p w14:paraId="10BB0E97" w14:textId="278115DD" w:rsidR="005E4D4F" w:rsidRDefault="0013476F" w:rsidP="00227125">
      <w:pPr>
        <w:pStyle w:val="Literatur"/>
      </w:pPr>
      <w:r>
        <w:t>[4] Umweltbundesamt</w:t>
      </w:r>
      <w:r w:rsidR="00BE4B11">
        <w:t>:</w:t>
      </w:r>
      <w:r>
        <w:t xml:space="preserve"> Vorjahreschätzung der deutschen Triebhausgas-Emissionen für das Jahr 2020</w:t>
      </w:r>
      <w:r w:rsidR="00BE4B11">
        <w:t>.</w:t>
      </w:r>
      <w:r>
        <w:t xml:space="preserve"> 15.03.2021</w:t>
      </w:r>
    </w:p>
    <w:p w14:paraId="68A1D831" w14:textId="564A4D72" w:rsidR="00BE4B11" w:rsidRDefault="00BE4B11" w:rsidP="00227125">
      <w:pPr>
        <w:pStyle w:val="Literatur"/>
      </w:pPr>
      <w:r>
        <w:t xml:space="preserve">[5] </w:t>
      </w:r>
      <w:r w:rsidRPr="00BE4B11">
        <w:tab/>
        <w:t>P. Lopion et al.</w:t>
      </w:r>
      <w:r>
        <w:t>:</w:t>
      </w:r>
      <w:r w:rsidRPr="00BE4B11">
        <w:t xml:space="preserve"> Cost Uncertainties in Energy System Optimization Models: A Quadratic Programming Approach for Avoiding Penny Switching Effects</w:t>
      </w:r>
      <w:r>
        <w:t>.</w:t>
      </w:r>
      <w:r w:rsidRPr="00BE4B11">
        <w:t xml:space="preserve"> Energies 2019, 12(20), 4006</w:t>
      </w:r>
    </w:p>
    <w:p w14:paraId="7FA72696" w14:textId="5EB7DB0E" w:rsidR="00BE4B11" w:rsidRDefault="00BE4B11" w:rsidP="00227125">
      <w:pPr>
        <w:pStyle w:val="Literatur"/>
      </w:pPr>
      <w:r w:rsidRPr="00BE4B11">
        <w:t>[</w:t>
      </w:r>
      <w:r>
        <w:t>6</w:t>
      </w:r>
      <w:r w:rsidRPr="00BE4B11">
        <w:t>]</w:t>
      </w:r>
      <w:r w:rsidRPr="00BE4B11">
        <w:tab/>
        <w:t xml:space="preserve">M. Robinius, P. Markewitz, P. Lopion et al.: Kosteneffiziente und klimagerechte Transformationsstrategien für das deutsche Energiesystem bis zum Jahr 2050. </w:t>
      </w:r>
      <w:r w:rsidR="006B4680">
        <w:t>Schriften des Forschungszentrums Jülich, Reihe Energie &amp; Umwelt, Band 499. 2020</w:t>
      </w:r>
    </w:p>
    <w:p w14:paraId="3BF6993B" w14:textId="43095110" w:rsidR="004C7A81" w:rsidRDefault="004C7A81" w:rsidP="00227125">
      <w:pPr>
        <w:pStyle w:val="Literatur"/>
      </w:pPr>
      <w:r>
        <w:t>[</w:t>
      </w:r>
      <w:r w:rsidR="00BE4B11">
        <w:t>7</w:t>
      </w:r>
      <w:r>
        <w:t>] acatech</w:t>
      </w:r>
      <w:r w:rsidR="006B4680">
        <w:t>:</w:t>
      </w:r>
      <w:r>
        <w:t xml:space="preserve"> CCU und CCS – Bausteine für den Klimaschutz in der Industrie</w:t>
      </w:r>
      <w:r w:rsidR="006B4680">
        <w:t>.</w:t>
      </w:r>
      <w:r>
        <w:t xml:space="preserve"> 2018</w:t>
      </w:r>
    </w:p>
    <w:sectPr w:rsidR="004C7A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4C7D" w14:textId="77777777" w:rsidR="00C635A3" w:rsidRDefault="00C635A3">
      <w:r>
        <w:separator/>
      </w:r>
    </w:p>
  </w:endnote>
  <w:endnote w:type="continuationSeparator" w:id="0">
    <w:p w14:paraId="6272053D" w14:textId="77777777" w:rsidR="00C635A3" w:rsidRDefault="00C6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8674" w14:textId="77777777" w:rsidR="00C635A3" w:rsidRDefault="00C635A3">
      <w:r>
        <w:separator/>
      </w:r>
    </w:p>
  </w:footnote>
  <w:footnote w:type="continuationSeparator" w:id="0">
    <w:p w14:paraId="0A8F3C61" w14:textId="77777777" w:rsidR="00C635A3" w:rsidRDefault="00C635A3">
      <w:r>
        <w:continuationSeparator/>
      </w:r>
    </w:p>
  </w:footnote>
  <w:footnote w:id="1">
    <w:p w14:paraId="5D28FC38" w14:textId="641302F5" w:rsidR="00C66FB9" w:rsidRPr="00FB69AE" w:rsidRDefault="00D53E86" w:rsidP="00C66FB9">
      <w:pPr>
        <w:jc w:val="left"/>
      </w:pPr>
      <w:r w:rsidRPr="00A115D2">
        <w:rPr>
          <w:rStyle w:val="Funotenzeichen"/>
        </w:rPr>
        <w:footnoteRef/>
      </w:r>
      <w:r w:rsidRPr="00D53E86">
        <w:t xml:space="preserve"> </w:t>
      </w:r>
      <w:r w:rsidR="00B7143D">
        <w:t>Jungauto</w:t>
      </w:r>
      <w:r w:rsidR="00C66FB9">
        <w:t>r, Forschungszentrum Jülich GmbH, D-52425 Jülich</w:t>
      </w:r>
      <w:r w:rsidR="00E520E6">
        <w:t>, Tel</w:t>
      </w:r>
      <w:r w:rsidR="00C66FB9">
        <w:t>efon: +491590 5332987</w:t>
      </w:r>
      <w:r w:rsidR="00A6148D">
        <w:t>,</w:t>
      </w:r>
      <w:r w:rsidR="00C66FB9">
        <w:t xml:space="preserve"> E-Mail: </w:t>
      </w:r>
      <w:hyperlink r:id="rId1" w:history="1">
        <w:r w:rsidR="00C66FB9" w:rsidRPr="00E91DDF">
          <w:rPr>
            <w:rStyle w:val="Hyperlink"/>
          </w:rPr>
          <w:t>t.schoeb@fz-juelich.de</w:t>
        </w:r>
      </w:hyperlink>
      <w:r>
        <w:t>,</w:t>
      </w:r>
      <w:r w:rsidR="00C66FB9">
        <w:t xml:space="preserve"> Web:</w:t>
      </w:r>
      <w:r>
        <w:t xml:space="preserve"> </w:t>
      </w:r>
      <w:hyperlink r:id="rId2" w:history="1">
        <w:r w:rsidR="00C66FB9" w:rsidRPr="00E91DDF">
          <w:rPr>
            <w:rStyle w:val="Hyperlink"/>
          </w:rPr>
          <w:t>https://www.fz-juelich.de/iek/iek-3/DE/Home/home_node.html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2677B"/>
    <w:rsid w:val="00037445"/>
    <w:rsid w:val="00037682"/>
    <w:rsid w:val="00040B41"/>
    <w:rsid w:val="000A61F3"/>
    <w:rsid w:val="000F7579"/>
    <w:rsid w:val="00115BAD"/>
    <w:rsid w:val="0013476F"/>
    <w:rsid w:val="00197550"/>
    <w:rsid w:val="001C6768"/>
    <w:rsid w:val="001E40A7"/>
    <w:rsid w:val="002014D3"/>
    <w:rsid w:val="00227125"/>
    <w:rsid w:val="00262FD5"/>
    <w:rsid w:val="002946B8"/>
    <w:rsid w:val="002A3BDC"/>
    <w:rsid w:val="003358D2"/>
    <w:rsid w:val="003414EB"/>
    <w:rsid w:val="00350F98"/>
    <w:rsid w:val="00372E07"/>
    <w:rsid w:val="003B676F"/>
    <w:rsid w:val="003C28FE"/>
    <w:rsid w:val="003E2300"/>
    <w:rsid w:val="003E3FED"/>
    <w:rsid w:val="00434F3A"/>
    <w:rsid w:val="00483B87"/>
    <w:rsid w:val="004C05FB"/>
    <w:rsid w:val="004C7A81"/>
    <w:rsid w:val="004D1E22"/>
    <w:rsid w:val="00510B85"/>
    <w:rsid w:val="005B1ADB"/>
    <w:rsid w:val="005D3CF6"/>
    <w:rsid w:val="005E4D4F"/>
    <w:rsid w:val="00662525"/>
    <w:rsid w:val="00677482"/>
    <w:rsid w:val="006B4680"/>
    <w:rsid w:val="007205C8"/>
    <w:rsid w:val="007378C8"/>
    <w:rsid w:val="00741EC0"/>
    <w:rsid w:val="007708C4"/>
    <w:rsid w:val="007A59E0"/>
    <w:rsid w:val="00803917"/>
    <w:rsid w:val="00886CF7"/>
    <w:rsid w:val="009275F6"/>
    <w:rsid w:val="009365C1"/>
    <w:rsid w:val="009A6B89"/>
    <w:rsid w:val="00A07737"/>
    <w:rsid w:val="00A156E4"/>
    <w:rsid w:val="00A33C45"/>
    <w:rsid w:val="00A6148D"/>
    <w:rsid w:val="00AD5E01"/>
    <w:rsid w:val="00B64366"/>
    <w:rsid w:val="00B7143D"/>
    <w:rsid w:val="00BE4B11"/>
    <w:rsid w:val="00BF05FA"/>
    <w:rsid w:val="00C448E8"/>
    <w:rsid w:val="00C635A3"/>
    <w:rsid w:val="00C66FB9"/>
    <w:rsid w:val="00CB384C"/>
    <w:rsid w:val="00CE1A70"/>
    <w:rsid w:val="00D336FF"/>
    <w:rsid w:val="00D53E86"/>
    <w:rsid w:val="00D736F8"/>
    <w:rsid w:val="00E24CB7"/>
    <w:rsid w:val="00E520E6"/>
    <w:rsid w:val="00EA30CA"/>
    <w:rsid w:val="00F717D1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0641F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66F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6FB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3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erfg.de/e/rs20210324_1bvr265618.html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-juelich.de/iek/iek-3/DE/Home/home_node.html" TargetMode="External"/><Relationship Id="rId1" Type="http://schemas.openxmlformats.org/officeDocument/2006/relationships/hyperlink" Target="mailto:t.schoeb@fz-juelich.de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iek3381.iek.kfa-juelich.de\t-schoeb\Modell\Results\2021-05-22%2014_39%20CO2_100%25%20QP_True%20TSA_48%20Name_NetZero_lowTRL\Auswertung_Ergebnisse_V32_sch_NetZero_NetZero_lowTR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552478869685884"/>
          <c:y val="6.5401407419289598E-2"/>
          <c:w val="0.62855782100085167"/>
          <c:h val="0.85096838537344033"/>
        </c:manualLayout>
      </c:layout>
      <c:barChart>
        <c:barDir val="col"/>
        <c:grouping val="stacked"/>
        <c:varyColors val="0"/>
        <c:ser>
          <c:idx val="4"/>
          <c:order val="0"/>
          <c:tx>
            <c:strRef>
              <c:f>'CO2-Emissionen'!$Z$100</c:f>
              <c:strCache>
                <c:ptCount val="1"/>
                <c:pt idx="0">
                  <c:v>CO2 Speicherung</c:v>
                </c:pt>
              </c:strCache>
            </c:strRef>
          </c:tx>
          <c:invertIfNegative val="0"/>
          <c:cat>
            <c:numRef>
              <c:f>'CO2-Emissionen'!$AB$67:$AH$67</c:f>
              <c:numCache>
                <c:formatCode>General</c:formatCode>
                <c:ptCount val="7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  <c:pt idx="5">
                  <c:v>2045</c:v>
                </c:pt>
                <c:pt idx="6">
                  <c:v>2050</c:v>
                </c:pt>
              </c:numCache>
            </c:numRef>
          </c:cat>
          <c:val>
            <c:numRef>
              <c:f>'CO2-Emissionen'!$AB$100:$AH$100</c:f>
              <c:numCache>
                <c:formatCode>General</c:formatCode>
                <c:ptCount val="7"/>
                <c:pt idx="0">
                  <c:v>0</c:v>
                </c:pt>
                <c:pt idx="1">
                  <c:v>-9.9050550452865305E-5</c:v>
                </c:pt>
                <c:pt idx="2">
                  <c:v>-2.6654213510363929E-5</c:v>
                </c:pt>
                <c:pt idx="3">
                  <c:v>-4.1117740694309943E-5</c:v>
                </c:pt>
                <c:pt idx="4">
                  <c:v>-9986.3179386735428</c:v>
                </c:pt>
                <c:pt idx="5">
                  <c:v>-9986.3379606428698</c:v>
                </c:pt>
                <c:pt idx="6">
                  <c:v>-59918.369736494715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97-4E12-897F-F3250CEAF8E3}"/>
            </c:ext>
          </c:extLst>
        </c:ser>
        <c:ser>
          <c:idx val="0"/>
          <c:order val="1"/>
          <c:tx>
            <c:strRef>
              <c:f>'CO2-Emissionen'!$Z$96</c:f>
              <c:strCache>
                <c:ptCount val="1"/>
                <c:pt idx="0">
                  <c:v>Energie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'CO2-Emissionen'!$AB$67:$AH$67</c:f>
              <c:numCache>
                <c:formatCode>General</c:formatCode>
                <c:ptCount val="7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  <c:pt idx="5">
                  <c:v>2045</c:v>
                </c:pt>
                <c:pt idx="6">
                  <c:v>2050</c:v>
                </c:pt>
              </c:numCache>
            </c:numRef>
          </c:cat>
          <c:val>
            <c:numRef>
              <c:f>'CO2-Emissionen'!$AB$96:$AH$96</c:f>
              <c:numCache>
                <c:formatCode>General</c:formatCode>
                <c:ptCount val="7"/>
                <c:pt idx="0">
                  <c:v>276348.00429774029</c:v>
                </c:pt>
                <c:pt idx="1">
                  <c:v>133272.01010703997</c:v>
                </c:pt>
                <c:pt idx="2">
                  <c:v>58974.919260733863</c:v>
                </c:pt>
                <c:pt idx="3">
                  <c:v>38236.309408008419</c:v>
                </c:pt>
                <c:pt idx="4">
                  <c:v>20359.416789662548</c:v>
                </c:pt>
                <c:pt idx="5">
                  <c:v>-9284.8989212722372</c:v>
                </c:pt>
                <c:pt idx="6">
                  <c:v>-33580.122687967028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97-4E12-897F-F3250CEAF8E3}"/>
            </c:ext>
          </c:extLst>
        </c:ser>
        <c:ser>
          <c:idx val="1"/>
          <c:order val="2"/>
          <c:tx>
            <c:strRef>
              <c:f>'CO2-Emissionen'!$Z$97</c:f>
              <c:strCache>
                <c:ptCount val="1"/>
                <c:pt idx="0">
                  <c:v>Industrie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'CO2-Emissionen'!$AB$67:$AH$67</c:f>
              <c:numCache>
                <c:formatCode>General</c:formatCode>
                <c:ptCount val="7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  <c:pt idx="5">
                  <c:v>2045</c:v>
                </c:pt>
                <c:pt idx="6">
                  <c:v>2050</c:v>
                </c:pt>
              </c:numCache>
            </c:numRef>
          </c:cat>
          <c:val>
            <c:numRef>
              <c:f>'CO2-Emissionen'!$AB$97:$AH$97</c:f>
              <c:numCache>
                <c:formatCode>General</c:formatCode>
                <c:ptCount val="7"/>
                <c:pt idx="0">
                  <c:v>165334.8599024752</c:v>
                </c:pt>
                <c:pt idx="1">
                  <c:v>157092.21078122611</c:v>
                </c:pt>
                <c:pt idx="2">
                  <c:v>132166.00974800234</c:v>
                </c:pt>
                <c:pt idx="3">
                  <c:v>113440.08066988467</c:v>
                </c:pt>
                <c:pt idx="4">
                  <c:v>75077.940454319119</c:v>
                </c:pt>
                <c:pt idx="5">
                  <c:v>53369.710771689926</c:v>
                </c:pt>
                <c:pt idx="6">
                  <c:v>45062.95726300362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97-4E12-897F-F3250CEAF8E3}"/>
            </c:ext>
          </c:extLst>
        </c:ser>
        <c:ser>
          <c:idx val="2"/>
          <c:order val="3"/>
          <c:tx>
            <c:strRef>
              <c:f>'CO2-Emissionen'!$Z$98</c:f>
              <c:strCache>
                <c:ptCount val="1"/>
                <c:pt idx="0">
                  <c:v>Gebäude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  <a:ln w="25400">
              <a:noFill/>
            </a:ln>
          </c:spPr>
          <c:invertIfNegative val="0"/>
          <c:cat>
            <c:numRef>
              <c:f>'CO2-Emissionen'!$AB$67:$AH$67</c:f>
              <c:numCache>
                <c:formatCode>General</c:formatCode>
                <c:ptCount val="7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  <c:pt idx="5">
                  <c:v>2045</c:v>
                </c:pt>
                <c:pt idx="6">
                  <c:v>2050</c:v>
                </c:pt>
              </c:numCache>
            </c:numRef>
          </c:cat>
          <c:val>
            <c:numRef>
              <c:f>'CO2-Emissionen'!$AB$98:$AH$98</c:f>
              <c:numCache>
                <c:formatCode>General</c:formatCode>
                <c:ptCount val="7"/>
                <c:pt idx="0">
                  <c:v>109570.65507836849</c:v>
                </c:pt>
                <c:pt idx="1">
                  <c:v>101684.08283348728</c:v>
                </c:pt>
                <c:pt idx="2">
                  <c:v>68322.488252607392</c:v>
                </c:pt>
                <c:pt idx="3">
                  <c:v>54349.307133101138</c:v>
                </c:pt>
                <c:pt idx="4">
                  <c:v>21666.14687995749</c:v>
                </c:pt>
                <c:pt idx="5">
                  <c:v>5486.152075109555</c:v>
                </c:pt>
                <c:pt idx="6">
                  <c:v>164.30223037717388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97-4E12-897F-F3250CEAF8E3}"/>
            </c:ext>
          </c:extLst>
        </c:ser>
        <c:ser>
          <c:idx val="3"/>
          <c:order val="4"/>
          <c:tx>
            <c:strRef>
              <c:f>'CO2-Emissionen'!$Z$99</c:f>
              <c:strCache>
                <c:ptCount val="1"/>
                <c:pt idx="0">
                  <c:v>Verkehr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 w="25400">
              <a:noFill/>
            </a:ln>
          </c:spPr>
          <c:invertIfNegative val="0"/>
          <c:cat>
            <c:numRef>
              <c:f>'CO2-Emissionen'!$AB$67:$AH$67</c:f>
              <c:numCache>
                <c:formatCode>General</c:formatCode>
                <c:ptCount val="7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  <c:pt idx="5">
                  <c:v>2045</c:v>
                </c:pt>
                <c:pt idx="6">
                  <c:v>2050</c:v>
                </c:pt>
              </c:numCache>
            </c:numRef>
          </c:cat>
          <c:val>
            <c:numRef>
              <c:f>'CO2-Emissionen'!$AB$99:$AH$99</c:f>
              <c:numCache>
                <c:formatCode>General</c:formatCode>
                <c:ptCount val="7"/>
                <c:pt idx="0">
                  <c:v>157336.48071305268</c:v>
                </c:pt>
                <c:pt idx="1">
                  <c:v>144666.7001384192</c:v>
                </c:pt>
                <c:pt idx="2">
                  <c:v>105376.58347016788</c:v>
                </c:pt>
                <c:pt idx="3">
                  <c:v>43944.303435053909</c:v>
                </c:pt>
                <c:pt idx="4">
                  <c:v>27982.814045502291</c:v>
                </c:pt>
                <c:pt idx="5">
                  <c:v>3415.374099996513</c:v>
                </c:pt>
                <c:pt idx="6">
                  <c:v>-828.76703030077977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97-4E12-897F-F3250CEAF8E3}"/>
            </c:ext>
          </c:extLst>
        </c:ser>
        <c:ser>
          <c:idx val="5"/>
          <c:order val="5"/>
          <c:tx>
            <c:strRef>
              <c:f>'CO2-Emissionen'!$Z$101</c:f>
              <c:strCache>
                <c:ptCount val="1"/>
                <c:pt idx="0">
                  <c:v>Nicht-CO2 Emissionen</c:v>
                </c:pt>
              </c:strCache>
            </c:strRef>
          </c:tx>
          <c:invertIfNegative val="0"/>
          <c:val>
            <c:numRef>
              <c:f>'CO2-Emissionen'!$AB$101:$AH$101</c:f>
              <c:numCache>
                <c:formatCode>General</c:formatCode>
                <c:ptCount val="7"/>
                <c:pt idx="0">
                  <c:v>101209.99999999999</c:v>
                </c:pt>
                <c:pt idx="1">
                  <c:v>87185.000000000015</c:v>
                </c:pt>
                <c:pt idx="2">
                  <c:v>73160</c:v>
                </c:pt>
                <c:pt idx="3">
                  <c:v>66030</c:v>
                </c:pt>
                <c:pt idx="4">
                  <c:v>58900.000000000007</c:v>
                </c:pt>
                <c:pt idx="5">
                  <c:v>54000</c:v>
                </c:pt>
                <c:pt idx="6">
                  <c:v>49100.000000000007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97-4E12-897F-F3250CEAF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6363648"/>
        <c:axId val="326730880"/>
      </c:barChart>
      <c:catAx>
        <c:axId val="32636364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Jahr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de-DE"/>
          </a:p>
        </c:txPr>
        <c:crossAx val="326730880"/>
        <c:crosses val="autoZero"/>
        <c:auto val="1"/>
        <c:lblAlgn val="ctr"/>
        <c:lblOffset val="500"/>
        <c:noMultiLvlLbl val="0"/>
      </c:catAx>
      <c:valAx>
        <c:axId val="326730880"/>
        <c:scaling>
          <c:orientation val="minMax"/>
          <c:min val="-2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THG-Emissionen [Mt CO</a:t>
                </a:r>
                <a:r>
                  <a:rPr lang="en-US" baseline="-25000"/>
                  <a:t>2</a:t>
                </a:r>
                <a:r>
                  <a:rPr lang="en-US" baseline="0"/>
                  <a:t> äq.</a:t>
                </a:r>
                <a:r>
                  <a:rPr lang="en-US"/>
                  <a:t>]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de-DE"/>
          </a:p>
        </c:txPr>
        <c:crossAx val="326363648"/>
        <c:crosses val="autoZero"/>
        <c:crossBetween val="between"/>
        <c:majorUnit val="100000"/>
        <c:dispUnits>
          <c:builtInUnit val="thousands"/>
        </c:dispUnits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r"/>
      <c:layout>
        <c:manualLayout>
          <c:xMode val="edge"/>
          <c:yMode val="edge"/>
          <c:x val="0.77314020529928185"/>
          <c:y val="9.3584232953510677E-2"/>
          <c:w val="0.21795913170645098"/>
          <c:h val="0.75260768241439657"/>
        </c:manualLayout>
      </c:layout>
      <c:overlay val="0"/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de-DE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Benutzerdefiniert 1">
    <a:dk1>
      <a:sysClr val="windowText" lastClr="000000"/>
    </a:dk1>
    <a:lt1>
      <a:sysClr val="window" lastClr="FFFFFF"/>
    </a:lt1>
    <a:dk2>
      <a:srgbClr val="6D268E"/>
    </a:dk2>
    <a:lt2>
      <a:srgbClr val="EBEBEB"/>
    </a:lt2>
    <a:accent1>
      <a:srgbClr val="023D6B"/>
    </a:accent1>
    <a:accent2>
      <a:srgbClr val="ADBDE3"/>
    </a:accent2>
    <a:accent3>
      <a:srgbClr val="30A93B"/>
    </a:accent3>
    <a:accent4>
      <a:srgbClr val="FFE900"/>
    </a:accent4>
    <a:accent5>
      <a:srgbClr val="FF8C0C"/>
    </a:accent5>
    <a:accent6>
      <a:srgbClr val="DF0F44"/>
    </a:accent6>
    <a:hlink>
      <a:srgbClr val="000000"/>
    </a:hlink>
    <a:folHlink>
      <a:srgbClr val="000000"/>
    </a:folHlink>
  </a:clrScheme>
  <a:fontScheme name="Larissa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Schöb, Thomas</cp:lastModifiedBy>
  <cp:revision>3</cp:revision>
  <dcterms:created xsi:type="dcterms:W3CDTF">2021-05-27T16:42:00Z</dcterms:created>
  <dcterms:modified xsi:type="dcterms:W3CDTF">2021-05-31T10:23:00Z</dcterms:modified>
</cp:coreProperties>
</file>