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22007" w14:textId="020F38DC" w:rsidR="005E4D4F" w:rsidRPr="002743F6" w:rsidRDefault="00FE5668" w:rsidP="002743F6">
      <w:pPr>
        <w:jc w:val="center"/>
        <w:rPr>
          <w:b/>
          <w:sz w:val="32"/>
        </w:rPr>
      </w:pPr>
      <w:r w:rsidRPr="00FE5668">
        <w:rPr>
          <w:b/>
          <w:sz w:val="32"/>
        </w:rPr>
        <w:t xml:space="preserve">Blockchain, quo </w:t>
      </w:r>
      <w:proofErr w:type="spellStart"/>
      <w:r w:rsidRPr="00FE5668">
        <w:rPr>
          <w:b/>
          <w:sz w:val="32"/>
        </w:rPr>
        <w:t>vadis</w:t>
      </w:r>
      <w:proofErr w:type="spellEnd"/>
      <w:r w:rsidRPr="00FE5668">
        <w:rPr>
          <w:b/>
          <w:sz w:val="32"/>
        </w:rPr>
        <w:t xml:space="preserve">? Eine quantitative Analyse des Entwicklungsstandes der Blockchain in der Energiewirtschaft anhand Literatur- und </w:t>
      </w:r>
      <w:bookmarkStart w:id="0" w:name="_GoBack"/>
      <w:bookmarkEnd w:id="0"/>
      <w:r w:rsidR="00DE2849" w:rsidRPr="002743F6">
        <w:rPr>
          <w:b/>
          <w:sz w:val="32"/>
        </w:rPr>
        <w:t>Patentdaten</w:t>
      </w:r>
    </w:p>
    <w:p w14:paraId="4DF3775C" w14:textId="77777777" w:rsidR="00BF05FA" w:rsidRDefault="00BF05FA" w:rsidP="00662469">
      <w:pPr>
        <w:pStyle w:val="AutorenOrganisation"/>
        <w:spacing w:after="60"/>
      </w:pPr>
      <w:r>
        <w:t>Themenbereich</w:t>
      </w:r>
      <w:r w:rsidR="00B07D0E">
        <w:t xml:space="preserve"> 4: Aktive Endkunden-/</w:t>
      </w:r>
      <w:proofErr w:type="spellStart"/>
      <w:r w:rsidR="00B07D0E">
        <w:t>Prosumerpartizipation</w:t>
      </w:r>
      <w:proofErr w:type="spellEnd"/>
    </w:p>
    <w:p w14:paraId="30A39EA8" w14:textId="25754661" w:rsidR="00DE2849" w:rsidRPr="0060114C" w:rsidRDefault="00DE2849" w:rsidP="00092B20">
      <w:pPr>
        <w:pStyle w:val="AutorenOrganisation"/>
        <w:ind w:left="720"/>
      </w:pPr>
      <w:r>
        <w:t>Pascal Häbig</w:t>
      </w:r>
      <w:r w:rsidR="00B47D01">
        <w:rPr>
          <w:rStyle w:val="Funotenzeichen"/>
        </w:rPr>
        <w:footnoteReference w:id="1"/>
      </w:r>
      <w:r w:rsidR="0022551E">
        <w:t xml:space="preserve"> </w:t>
      </w:r>
      <w:r>
        <w:rPr>
          <w:vertAlign w:val="superscript"/>
        </w:rPr>
        <w:t>(1</w:t>
      </w:r>
      <w:r w:rsidRPr="0060114C">
        <w:rPr>
          <w:vertAlign w:val="superscript"/>
        </w:rPr>
        <w:t>)</w:t>
      </w:r>
      <w:r w:rsidRPr="0060114C">
        <w:t xml:space="preserve">, </w:t>
      </w:r>
      <w:r>
        <w:t>Maximilian Schulz</w:t>
      </w:r>
      <w:r w:rsidRPr="002743F6">
        <w:rPr>
          <w:sz w:val="22"/>
          <w:vertAlign w:val="superscript"/>
        </w:rPr>
        <w:footnoteReference w:id="2"/>
      </w:r>
      <w:r w:rsidRPr="002743F6">
        <w:rPr>
          <w:sz w:val="22"/>
          <w:vertAlign w:val="superscript"/>
        </w:rPr>
        <w:t xml:space="preserve"> </w:t>
      </w:r>
      <w:r w:rsidRPr="0060114C">
        <w:rPr>
          <w:vertAlign w:val="superscript"/>
        </w:rPr>
        <w:t>(1)</w:t>
      </w:r>
      <w:r>
        <w:t xml:space="preserve">, Michael </w:t>
      </w:r>
      <w:proofErr w:type="spellStart"/>
      <w:r>
        <w:t>Günkel</w:t>
      </w:r>
      <w:proofErr w:type="spellEnd"/>
      <w:r w:rsidR="004C76E5" w:rsidRPr="0060114C">
        <w:rPr>
          <w:vertAlign w:val="superscript"/>
        </w:rPr>
        <w:t xml:space="preserve"> </w:t>
      </w:r>
      <w:r w:rsidRPr="0060114C">
        <w:rPr>
          <w:vertAlign w:val="superscript"/>
        </w:rPr>
        <w:t>(1)</w:t>
      </w:r>
      <w:r>
        <w:t>, Kai Hufendiek</w:t>
      </w:r>
      <w:r w:rsidR="001956B7">
        <w:rPr>
          <w:rStyle w:val="Funotenzeichen"/>
        </w:rPr>
        <w:footnoteReference w:id="3"/>
      </w:r>
      <w:r w:rsidR="0022551E">
        <w:t xml:space="preserve"> </w:t>
      </w:r>
      <w:r w:rsidRPr="0060114C">
        <w:rPr>
          <w:vertAlign w:val="superscript"/>
        </w:rPr>
        <w:t>(</w:t>
      </w:r>
      <w:r>
        <w:rPr>
          <w:vertAlign w:val="superscript"/>
        </w:rPr>
        <w:t>1</w:t>
      </w:r>
      <w:r w:rsidRPr="0060114C">
        <w:rPr>
          <w:vertAlign w:val="superscript"/>
        </w:rPr>
        <w:t>)</w:t>
      </w:r>
    </w:p>
    <w:p w14:paraId="4152B5C1" w14:textId="5A6912F1" w:rsidR="00B47D01" w:rsidRDefault="00B47D01" w:rsidP="00357376">
      <w:pPr>
        <w:pStyle w:val="AutorenOrganisation"/>
        <w:numPr>
          <w:ilvl w:val="0"/>
          <w:numId w:val="6"/>
        </w:numPr>
      </w:pPr>
      <w:r w:rsidRPr="00B47D01">
        <w:rPr>
          <w:i/>
        </w:rPr>
        <w:t xml:space="preserve">IER </w:t>
      </w:r>
      <w:r w:rsidRPr="00AD7C22">
        <w:t>Institut für Energiewirtschaft und Rationelle Energieanwendung</w:t>
      </w:r>
      <w:r w:rsidRPr="00B47D01">
        <w:rPr>
          <w:i/>
        </w:rPr>
        <w:t xml:space="preserve"> </w:t>
      </w:r>
      <w:r>
        <w:t xml:space="preserve">der </w:t>
      </w:r>
      <w:r w:rsidRPr="0060114C">
        <w:t>Universität Stuttgart,</w:t>
      </w:r>
      <w:r>
        <w:t xml:space="preserve"> </w:t>
      </w:r>
      <w:r w:rsidRPr="00B47D01">
        <w:t>Heßbrühlstraße 49a, 70565 Stuttgart,</w:t>
      </w:r>
      <w:r>
        <w:t xml:space="preserve"> </w:t>
      </w:r>
      <w:r w:rsidRPr="00AD7C22">
        <w:t>www.ier.uni-stuttgart.de</w:t>
      </w:r>
    </w:p>
    <w:p w14:paraId="045A9048" w14:textId="773E78D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33BC9E98" w14:textId="770EA41B" w:rsidR="0008021A" w:rsidRDefault="00DE2849" w:rsidP="00656977">
      <w:pPr>
        <w:spacing w:after="120"/>
        <w:rPr>
          <w:rFonts w:cs="Arial"/>
          <w:szCs w:val="20"/>
        </w:rPr>
      </w:pPr>
      <w:r w:rsidRPr="007712DE">
        <w:rPr>
          <w:rFonts w:cs="Arial"/>
          <w:szCs w:val="20"/>
        </w:rPr>
        <w:t>Die Covid</w:t>
      </w:r>
      <w:r w:rsidRPr="007712DE">
        <w:rPr>
          <w:rFonts w:cs="Arial"/>
          <w:szCs w:val="20"/>
        </w:rPr>
        <w:noBreakHyphen/>
        <w:t>19</w:t>
      </w:r>
      <w:r w:rsidRPr="007712DE">
        <w:rPr>
          <w:rFonts w:cs="Arial"/>
          <w:szCs w:val="20"/>
        </w:rPr>
        <w:noBreakHyphen/>
        <w:t xml:space="preserve">Pandemie bestimmt das </w:t>
      </w:r>
      <w:r w:rsidR="000E0F7E">
        <w:rPr>
          <w:rFonts w:cs="Arial"/>
          <w:szCs w:val="20"/>
        </w:rPr>
        <w:t>aktuelle Weltgeschehen</w:t>
      </w:r>
      <w:r w:rsidR="00353F62">
        <w:rPr>
          <w:rFonts w:cs="Arial"/>
          <w:szCs w:val="20"/>
        </w:rPr>
        <w:t>. Deutschland v</w:t>
      </w:r>
      <w:r w:rsidR="000E0F7E">
        <w:rPr>
          <w:rFonts w:cs="Arial"/>
          <w:szCs w:val="20"/>
        </w:rPr>
        <w:t>erzeichnet</w:t>
      </w:r>
      <w:r w:rsidRPr="007712DE">
        <w:rPr>
          <w:rFonts w:cs="Arial"/>
          <w:szCs w:val="20"/>
        </w:rPr>
        <w:t xml:space="preserve"> für </w:t>
      </w:r>
      <w:r w:rsidR="0008021A">
        <w:rPr>
          <w:rFonts w:cs="Arial"/>
          <w:szCs w:val="20"/>
        </w:rPr>
        <w:t xml:space="preserve">das Jahr </w:t>
      </w:r>
      <w:r w:rsidRPr="007712DE">
        <w:rPr>
          <w:rFonts w:cs="Arial"/>
          <w:szCs w:val="20"/>
        </w:rPr>
        <w:t xml:space="preserve">2020 </w:t>
      </w:r>
      <w:r w:rsidR="000E0F7E">
        <w:rPr>
          <w:rFonts w:cs="Arial"/>
          <w:szCs w:val="20"/>
        </w:rPr>
        <w:t xml:space="preserve">einen </w:t>
      </w:r>
      <w:r w:rsidRPr="007712DE">
        <w:rPr>
          <w:rFonts w:cs="Arial"/>
          <w:szCs w:val="20"/>
        </w:rPr>
        <w:t>Rückgang des Bruttoinlandsprodukts von 5 %</w:t>
      </w:r>
      <w:r w:rsidR="001C4165">
        <w:rPr>
          <w:rFonts w:cs="Arial"/>
          <w:szCs w:val="20"/>
        </w:rPr>
        <w:t xml:space="preserve"> </w:t>
      </w:r>
      <w:r w:rsidR="001C4165" w:rsidRPr="00B4194E">
        <w:rPr>
          <w:rFonts w:cs="Arial"/>
          <w:szCs w:val="20"/>
        </w:rPr>
        <w:t>[1]</w:t>
      </w:r>
      <w:r w:rsidR="000E0F7E">
        <w:rPr>
          <w:rFonts w:cs="Arial"/>
          <w:szCs w:val="20"/>
        </w:rPr>
        <w:t xml:space="preserve"> aber auch eine Reduktion des </w:t>
      </w:r>
      <w:r w:rsidRPr="007712DE">
        <w:rPr>
          <w:rFonts w:cs="Arial"/>
          <w:szCs w:val="20"/>
        </w:rPr>
        <w:t>Stromverbrauch</w:t>
      </w:r>
      <w:r w:rsidR="004C76E5">
        <w:rPr>
          <w:rFonts w:cs="Arial"/>
          <w:szCs w:val="20"/>
        </w:rPr>
        <w:t>s</w:t>
      </w:r>
      <w:r w:rsidRPr="007712DE">
        <w:rPr>
          <w:rFonts w:cs="Arial"/>
          <w:szCs w:val="20"/>
        </w:rPr>
        <w:t xml:space="preserve"> </w:t>
      </w:r>
      <w:r w:rsidR="000E0F7E">
        <w:rPr>
          <w:rFonts w:cs="Arial"/>
          <w:szCs w:val="20"/>
        </w:rPr>
        <w:t>sowie der Treibhausgasemissionen</w:t>
      </w:r>
      <w:r w:rsidR="008D1B03">
        <w:rPr>
          <w:rFonts w:cs="Arial"/>
          <w:szCs w:val="20"/>
        </w:rPr>
        <w:t xml:space="preserve"> </w:t>
      </w:r>
      <w:r w:rsidR="008D1B03" w:rsidRPr="00B4194E">
        <w:rPr>
          <w:rFonts w:cs="Arial"/>
          <w:szCs w:val="20"/>
        </w:rPr>
        <w:t>[</w:t>
      </w:r>
      <w:r w:rsidR="00833300">
        <w:rPr>
          <w:rFonts w:cs="Arial"/>
          <w:szCs w:val="20"/>
        </w:rPr>
        <w:t>2</w:t>
      </w:r>
      <w:r w:rsidR="008D1B03" w:rsidRPr="00B4194E">
        <w:rPr>
          <w:rFonts w:cs="Arial"/>
          <w:szCs w:val="20"/>
        </w:rPr>
        <w:t>]</w:t>
      </w:r>
      <w:r w:rsidRPr="007712DE">
        <w:rPr>
          <w:rFonts w:cs="Arial"/>
          <w:szCs w:val="20"/>
        </w:rPr>
        <w:t xml:space="preserve">. Gleichzeitig bieten Krisenzeiten </w:t>
      </w:r>
      <w:r w:rsidR="0008021A">
        <w:rPr>
          <w:rFonts w:cs="Arial"/>
          <w:szCs w:val="20"/>
        </w:rPr>
        <w:t xml:space="preserve">auch </w:t>
      </w:r>
      <w:r w:rsidRPr="007712DE">
        <w:rPr>
          <w:rFonts w:cs="Arial"/>
          <w:szCs w:val="20"/>
        </w:rPr>
        <w:t>die Möglichkeit für Innovationen und neue Geschäftsmodelle</w:t>
      </w:r>
      <w:r w:rsidR="008E09E8">
        <w:rPr>
          <w:rFonts w:cs="Arial"/>
          <w:szCs w:val="20"/>
        </w:rPr>
        <w:t xml:space="preserve"> </w:t>
      </w:r>
      <w:r w:rsidR="00F6006F" w:rsidRPr="00B4194E">
        <w:rPr>
          <w:rFonts w:cs="Arial"/>
          <w:szCs w:val="20"/>
        </w:rPr>
        <w:t>[</w:t>
      </w:r>
      <w:r w:rsidR="00F6006F">
        <w:rPr>
          <w:rFonts w:cs="Arial"/>
          <w:szCs w:val="20"/>
        </w:rPr>
        <w:t>3</w:t>
      </w:r>
      <w:r w:rsidR="00F6006F" w:rsidRPr="00B4194E">
        <w:rPr>
          <w:rFonts w:cs="Arial"/>
          <w:szCs w:val="20"/>
        </w:rPr>
        <w:t>]</w:t>
      </w:r>
      <w:r w:rsidR="0008021A">
        <w:rPr>
          <w:rFonts w:cs="Arial"/>
          <w:szCs w:val="20"/>
        </w:rPr>
        <w:t>. Eine solche Innovation</w:t>
      </w:r>
      <w:r w:rsidR="00FB2BBC">
        <w:rPr>
          <w:rFonts w:cs="Arial"/>
          <w:szCs w:val="20"/>
        </w:rPr>
        <w:t>,</w:t>
      </w:r>
      <w:r w:rsidR="0008021A">
        <w:rPr>
          <w:rFonts w:cs="Arial"/>
          <w:szCs w:val="20"/>
        </w:rPr>
        <w:t xml:space="preserve"> </w:t>
      </w:r>
      <w:r w:rsidR="00FB2BBC">
        <w:rPr>
          <w:rFonts w:cs="Arial"/>
          <w:szCs w:val="20"/>
        </w:rPr>
        <w:t xml:space="preserve">deren </w:t>
      </w:r>
      <w:r w:rsidR="00FB2BBC" w:rsidRPr="007712DE">
        <w:rPr>
          <w:rFonts w:cs="Arial"/>
          <w:szCs w:val="20"/>
        </w:rPr>
        <w:t xml:space="preserve">Anfänge </w:t>
      </w:r>
      <w:r w:rsidR="00FB2BBC">
        <w:rPr>
          <w:rFonts w:cs="Arial"/>
          <w:szCs w:val="20"/>
        </w:rPr>
        <w:t xml:space="preserve">in die </w:t>
      </w:r>
      <w:r w:rsidR="00FB2BBC" w:rsidRPr="007712DE">
        <w:rPr>
          <w:rFonts w:cs="Arial"/>
          <w:szCs w:val="20"/>
        </w:rPr>
        <w:t>globale Finanzkrise zurück</w:t>
      </w:r>
      <w:r w:rsidR="00FB2BBC">
        <w:rPr>
          <w:rFonts w:cs="Arial"/>
          <w:szCs w:val="20"/>
        </w:rPr>
        <w:t xml:space="preserve">reichen, </w:t>
      </w:r>
      <w:r w:rsidR="0008021A">
        <w:rPr>
          <w:rFonts w:cs="Arial"/>
          <w:szCs w:val="20"/>
        </w:rPr>
        <w:t xml:space="preserve">ist die </w:t>
      </w:r>
      <w:r w:rsidR="008E09E8">
        <w:rPr>
          <w:rFonts w:cs="Arial"/>
          <w:szCs w:val="20"/>
        </w:rPr>
        <w:t>Blockchain-Technologie</w:t>
      </w:r>
      <w:r w:rsidR="002743F6">
        <w:rPr>
          <w:rFonts w:cs="Arial"/>
          <w:szCs w:val="20"/>
        </w:rPr>
        <w:t xml:space="preserve"> (BCT)</w:t>
      </w:r>
      <w:r w:rsidR="008E09E8">
        <w:rPr>
          <w:rFonts w:cs="Arial"/>
          <w:szCs w:val="20"/>
        </w:rPr>
        <w:t>,</w:t>
      </w:r>
      <w:r w:rsidR="00FB2BBC">
        <w:rPr>
          <w:rFonts w:cs="Arial"/>
          <w:szCs w:val="20"/>
        </w:rPr>
        <w:t xml:space="preserve"> die es </w:t>
      </w:r>
      <w:r w:rsidRPr="007712DE">
        <w:rPr>
          <w:rFonts w:cs="Arial"/>
          <w:szCs w:val="20"/>
        </w:rPr>
        <w:t xml:space="preserve">ermöglicht, Transaktionen ohne Intermediär fälschungssicher auszuführen. </w:t>
      </w:r>
      <w:r w:rsidR="00EE6828">
        <w:rPr>
          <w:rFonts w:cs="Arial"/>
          <w:szCs w:val="20"/>
        </w:rPr>
        <w:t xml:space="preserve">Trotz des Hypes gelang </w:t>
      </w:r>
      <w:r w:rsidR="004C76E5">
        <w:rPr>
          <w:rFonts w:cs="Arial"/>
          <w:szCs w:val="20"/>
        </w:rPr>
        <w:t>der</w:t>
      </w:r>
      <w:r w:rsidR="00EE6828">
        <w:rPr>
          <w:rFonts w:cs="Arial"/>
          <w:szCs w:val="20"/>
        </w:rPr>
        <w:t xml:space="preserve"> </w:t>
      </w:r>
      <w:r w:rsidR="005505A8">
        <w:rPr>
          <w:rFonts w:cs="Arial"/>
          <w:szCs w:val="20"/>
        </w:rPr>
        <w:t xml:space="preserve">erwartete </w:t>
      </w:r>
      <w:r w:rsidR="00EE6828">
        <w:rPr>
          <w:rFonts w:cs="Arial"/>
          <w:szCs w:val="20"/>
        </w:rPr>
        <w:t>Durchbruch</w:t>
      </w:r>
      <w:r w:rsidR="004C76E5">
        <w:rPr>
          <w:rFonts w:cs="Arial"/>
          <w:szCs w:val="20"/>
        </w:rPr>
        <w:t xml:space="preserve"> </w:t>
      </w:r>
      <w:r w:rsidR="0008021A">
        <w:rPr>
          <w:rFonts w:cs="Arial"/>
          <w:szCs w:val="20"/>
        </w:rPr>
        <w:t xml:space="preserve">zur großskaligen Informations- </w:t>
      </w:r>
      <w:r w:rsidR="00353F62">
        <w:rPr>
          <w:rFonts w:cs="Arial"/>
          <w:szCs w:val="20"/>
        </w:rPr>
        <w:t>und</w:t>
      </w:r>
      <w:r w:rsidR="0008021A">
        <w:rPr>
          <w:rFonts w:cs="Arial"/>
          <w:szCs w:val="20"/>
        </w:rPr>
        <w:t xml:space="preserve"> Kommunikationstechnologien </w:t>
      </w:r>
      <w:r w:rsidR="00353F62">
        <w:rPr>
          <w:rFonts w:cs="Arial"/>
          <w:szCs w:val="20"/>
        </w:rPr>
        <w:t xml:space="preserve">bisher </w:t>
      </w:r>
      <w:r w:rsidR="00FB2BBC">
        <w:rPr>
          <w:rFonts w:cs="Arial"/>
          <w:szCs w:val="20"/>
        </w:rPr>
        <w:t xml:space="preserve">nicht </w:t>
      </w:r>
      <w:r w:rsidR="00AC2B3F" w:rsidRPr="00B4194E">
        <w:rPr>
          <w:rFonts w:cs="Arial"/>
          <w:szCs w:val="20"/>
        </w:rPr>
        <w:t>[</w:t>
      </w:r>
      <w:r w:rsidR="0018094F">
        <w:rPr>
          <w:rFonts w:cs="Arial"/>
          <w:szCs w:val="20"/>
        </w:rPr>
        <w:t>4</w:t>
      </w:r>
      <w:r w:rsidR="008F533A">
        <w:rPr>
          <w:rFonts w:cs="Arial"/>
          <w:szCs w:val="20"/>
        </w:rPr>
        <w:t>, 5</w:t>
      </w:r>
      <w:r w:rsidR="00AC2B3F" w:rsidRPr="00B4194E">
        <w:rPr>
          <w:rFonts w:cs="Arial"/>
          <w:szCs w:val="20"/>
        </w:rPr>
        <w:t>]</w:t>
      </w:r>
      <w:r w:rsidR="0008021A">
        <w:rPr>
          <w:rFonts w:cs="Arial"/>
          <w:szCs w:val="20"/>
        </w:rPr>
        <w:t>.</w:t>
      </w:r>
      <w:r w:rsidR="00AC2B3F">
        <w:rPr>
          <w:rFonts w:cs="Arial"/>
          <w:szCs w:val="20"/>
        </w:rPr>
        <w:t xml:space="preserve"> </w:t>
      </w:r>
      <w:r w:rsidR="00EE6828">
        <w:rPr>
          <w:rFonts w:cs="Arial"/>
          <w:szCs w:val="20"/>
        </w:rPr>
        <w:t>Mit de</w:t>
      </w:r>
      <w:r w:rsidR="004C76E5">
        <w:rPr>
          <w:rFonts w:cs="Arial"/>
          <w:szCs w:val="20"/>
        </w:rPr>
        <w:t>m</w:t>
      </w:r>
      <w:r w:rsidR="00EE6828">
        <w:rPr>
          <w:rFonts w:cs="Arial"/>
          <w:szCs w:val="20"/>
        </w:rPr>
        <w:t xml:space="preserve"> vorliegenden Beitrag soll</w:t>
      </w:r>
      <w:r w:rsidR="001628AC">
        <w:rPr>
          <w:rFonts w:cs="Arial"/>
          <w:szCs w:val="20"/>
        </w:rPr>
        <w:t xml:space="preserve"> daher</w:t>
      </w:r>
      <w:r w:rsidR="00EE6828">
        <w:rPr>
          <w:rFonts w:cs="Arial"/>
          <w:szCs w:val="20"/>
        </w:rPr>
        <w:t xml:space="preserve"> der aktuelle Entwicklungsstand der Technologie </w:t>
      </w:r>
      <w:r w:rsidR="00D526C7">
        <w:rPr>
          <w:rFonts w:cs="Arial"/>
          <w:szCs w:val="20"/>
        </w:rPr>
        <w:t xml:space="preserve">eingeschätzt sowie </w:t>
      </w:r>
      <w:r w:rsidR="0008021A">
        <w:rPr>
          <w:rFonts w:cs="Arial"/>
          <w:szCs w:val="20"/>
        </w:rPr>
        <w:t>die bisherigen Forschungsschwerpunkte identifiziert werden.</w:t>
      </w:r>
    </w:p>
    <w:p w14:paraId="25A3DD2A" w14:textId="6CE899EC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55870C3A" w14:textId="0AA2C3F3" w:rsidR="004F7CD5" w:rsidRPr="00656977" w:rsidRDefault="0008021A" w:rsidP="00656977">
      <w:pPr>
        <w:spacing w:after="120"/>
        <w:rPr>
          <w:rFonts w:cs="Arial"/>
          <w:szCs w:val="20"/>
        </w:rPr>
      </w:pPr>
      <w:r w:rsidRPr="00656977">
        <w:rPr>
          <w:rFonts w:cs="Arial"/>
          <w:szCs w:val="20"/>
        </w:rPr>
        <w:t xml:space="preserve">Zur Adressierung dieser Forschungsfrage </w:t>
      </w:r>
      <w:r w:rsidR="00353F62">
        <w:rPr>
          <w:rFonts w:cs="Arial"/>
          <w:szCs w:val="20"/>
        </w:rPr>
        <w:t>gliedert</w:t>
      </w:r>
      <w:r w:rsidRPr="00656977">
        <w:rPr>
          <w:rFonts w:cs="Arial"/>
          <w:szCs w:val="20"/>
        </w:rPr>
        <w:t xml:space="preserve"> sich </w:t>
      </w:r>
      <w:r w:rsidR="0018094F" w:rsidRPr="00656977">
        <w:rPr>
          <w:rFonts w:cs="Arial"/>
          <w:szCs w:val="20"/>
        </w:rPr>
        <w:t>das methodische Vorgehen</w:t>
      </w:r>
      <w:r w:rsidR="002743F6">
        <w:rPr>
          <w:rFonts w:cs="Arial"/>
          <w:szCs w:val="20"/>
        </w:rPr>
        <w:t xml:space="preserve"> </w:t>
      </w:r>
      <w:r w:rsidR="0018094F" w:rsidRPr="00656977">
        <w:rPr>
          <w:rFonts w:cs="Arial"/>
          <w:szCs w:val="20"/>
        </w:rPr>
        <w:t xml:space="preserve">des </w:t>
      </w:r>
      <w:r w:rsidRPr="00656977">
        <w:rPr>
          <w:rFonts w:cs="Arial"/>
          <w:szCs w:val="20"/>
        </w:rPr>
        <w:t>vorliegende</w:t>
      </w:r>
      <w:r w:rsidR="0018094F" w:rsidRPr="00656977">
        <w:rPr>
          <w:rFonts w:cs="Arial"/>
          <w:szCs w:val="20"/>
        </w:rPr>
        <w:t>n</w:t>
      </w:r>
      <w:r w:rsidRPr="00656977">
        <w:rPr>
          <w:rFonts w:cs="Arial"/>
          <w:szCs w:val="20"/>
        </w:rPr>
        <w:t xml:space="preserve"> Beitrag</w:t>
      </w:r>
      <w:r w:rsidR="0018094F" w:rsidRPr="00656977">
        <w:rPr>
          <w:rFonts w:cs="Arial"/>
          <w:szCs w:val="20"/>
        </w:rPr>
        <w:t xml:space="preserve">s, </w:t>
      </w:r>
      <w:r w:rsidR="009B069A">
        <w:rPr>
          <w:rFonts w:cs="Arial"/>
          <w:szCs w:val="20"/>
        </w:rPr>
        <w:t>nachfolgend</w:t>
      </w:r>
      <w:r w:rsidR="009B069A" w:rsidRPr="00656977">
        <w:rPr>
          <w:rFonts w:cs="Arial"/>
          <w:szCs w:val="20"/>
        </w:rPr>
        <w:t xml:space="preserve"> </w:t>
      </w:r>
      <w:r w:rsidR="0018094F" w:rsidRPr="00656977">
        <w:rPr>
          <w:rFonts w:cs="Arial"/>
          <w:szCs w:val="20"/>
        </w:rPr>
        <w:t xml:space="preserve">in Abbildung 1 </w:t>
      </w:r>
      <w:r w:rsidR="009B069A">
        <w:rPr>
          <w:rFonts w:cs="Arial"/>
          <w:szCs w:val="20"/>
        </w:rPr>
        <w:t>visualisiert</w:t>
      </w:r>
      <w:r w:rsidR="0018094F" w:rsidRPr="00656977">
        <w:rPr>
          <w:rFonts w:cs="Arial"/>
          <w:szCs w:val="20"/>
        </w:rPr>
        <w:t>,</w:t>
      </w:r>
      <w:r w:rsidRPr="00656977">
        <w:rPr>
          <w:rFonts w:cs="Arial"/>
          <w:szCs w:val="20"/>
        </w:rPr>
        <w:t xml:space="preserve"> </w:t>
      </w:r>
      <w:r w:rsidR="0018094F" w:rsidRPr="00656977">
        <w:rPr>
          <w:rFonts w:cs="Arial"/>
          <w:szCs w:val="20"/>
        </w:rPr>
        <w:t xml:space="preserve">in die Schritte Datenrecherche und -verarbeitung, Datenanalyse </w:t>
      </w:r>
      <w:r w:rsidR="003A4B53" w:rsidRPr="00656977">
        <w:rPr>
          <w:rFonts w:cs="Arial"/>
          <w:szCs w:val="20"/>
        </w:rPr>
        <w:t>sowie</w:t>
      </w:r>
      <w:r w:rsidR="0018094F" w:rsidRPr="00656977">
        <w:rPr>
          <w:rFonts w:cs="Arial"/>
          <w:szCs w:val="20"/>
        </w:rPr>
        <w:t xml:space="preserve"> Ergebnisauswertung.</w:t>
      </w:r>
      <w:r w:rsidR="003A4B53" w:rsidRPr="00656977">
        <w:rPr>
          <w:rFonts w:cs="Arial"/>
          <w:szCs w:val="20"/>
        </w:rPr>
        <w:t xml:space="preserve"> Im ersten Schritt wird eine umfangreiche Datenrecherche zu wissenschaftlichen Publikationen und </w:t>
      </w:r>
      <w:r w:rsidR="004D3C61">
        <w:rPr>
          <w:rFonts w:cs="Arial"/>
          <w:szCs w:val="20"/>
        </w:rPr>
        <w:t>internationaler</w:t>
      </w:r>
      <w:r w:rsidR="003A4B53" w:rsidRPr="00656977">
        <w:rPr>
          <w:rFonts w:cs="Arial"/>
          <w:szCs w:val="20"/>
        </w:rPr>
        <w:t xml:space="preserve"> Patentschriften durchgeführt, woraus eine Stichprobe mit knapp 1.</w:t>
      </w:r>
      <w:r w:rsidR="00F53536" w:rsidRPr="00656977">
        <w:rPr>
          <w:rFonts w:cs="Arial"/>
          <w:szCs w:val="20"/>
        </w:rPr>
        <w:t>000</w:t>
      </w:r>
      <w:r w:rsidR="00F53536">
        <w:rPr>
          <w:rFonts w:cs="Arial"/>
          <w:szCs w:val="20"/>
        </w:rPr>
        <w:t> </w:t>
      </w:r>
      <w:r w:rsidR="003A4B53" w:rsidRPr="00656977">
        <w:rPr>
          <w:rFonts w:cs="Arial"/>
          <w:szCs w:val="20"/>
        </w:rPr>
        <w:t>Datensätzen resultiert</w:t>
      </w:r>
      <w:r w:rsidR="00A445E3">
        <w:rPr>
          <w:rFonts w:cs="Arial"/>
          <w:szCs w:val="20"/>
        </w:rPr>
        <w:t xml:space="preserve">, welche </w:t>
      </w:r>
      <w:r w:rsidR="003A4B53" w:rsidRPr="00656977">
        <w:rPr>
          <w:rFonts w:cs="Arial"/>
          <w:szCs w:val="20"/>
        </w:rPr>
        <w:t>sich thematisch mit der Anwendung der Blockchain-Technologie</w:t>
      </w:r>
      <w:r w:rsidR="002743F6">
        <w:rPr>
          <w:rFonts w:cs="Arial"/>
          <w:szCs w:val="20"/>
        </w:rPr>
        <w:t xml:space="preserve"> in der </w:t>
      </w:r>
      <w:r w:rsidR="00DE1EB3">
        <w:rPr>
          <w:rFonts w:cs="Arial"/>
          <w:szCs w:val="20"/>
        </w:rPr>
        <w:t>Energiewirtschaft </w:t>
      </w:r>
      <w:r w:rsidR="002743F6">
        <w:rPr>
          <w:rFonts w:cs="Arial"/>
          <w:szCs w:val="20"/>
        </w:rPr>
        <w:t>(EW)</w:t>
      </w:r>
      <w:r w:rsidR="003A4B53" w:rsidRPr="00656977">
        <w:rPr>
          <w:rFonts w:cs="Arial"/>
          <w:szCs w:val="20"/>
        </w:rPr>
        <w:t xml:space="preserve"> befassen.</w:t>
      </w:r>
    </w:p>
    <w:p w14:paraId="36200F55" w14:textId="06F8F6D7" w:rsidR="00A92E25" w:rsidRDefault="00A92E25" w:rsidP="002743F6">
      <w:pPr>
        <w:pStyle w:val="Ueberschrift"/>
        <w:spacing w:before="0"/>
        <w:jc w:val="center"/>
        <w:rPr>
          <w:rFonts w:cs="Arial"/>
          <w:b w:val="0"/>
          <w:sz w:val="20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18224A1C" wp14:editId="06707788">
            <wp:extent cx="3960000" cy="2160644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60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72836" w14:textId="72DEEAD4" w:rsidR="005D7971" w:rsidRPr="002743F6" w:rsidRDefault="005D7971" w:rsidP="00656977">
      <w:pPr>
        <w:pStyle w:val="Ueberschrift"/>
        <w:tabs>
          <w:tab w:val="left" w:pos="1418"/>
        </w:tabs>
        <w:spacing w:before="0" w:after="180"/>
        <w:ind w:firstLine="284"/>
        <w:rPr>
          <w:rFonts w:cs="Arial"/>
          <w:b w:val="0"/>
          <w:sz w:val="18"/>
          <w:szCs w:val="20"/>
        </w:rPr>
      </w:pPr>
      <w:r w:rsidRPr="005D7971">
        <w:rPr>
          <w:rFonts w:cs="Arial"/>
          <w:sz w:val="18"/>
          <w:szCs w:val="20"/>
        </w:rPr>
        <w:t>Abbildung 1:</w:t>
      </w:r>
      <w:r w:rsidR="00656977">
        <w:rPr>
          <w:rFonts w:cs="Arial"/>
          <w:sz w:val="18"/>
          <w:szCs w:val="20"/>
        </w:rPr>
        <w:tab/>
      </w:r>
      <w:r w:rsidRPr="002743F6">
        <w:rPr>
          <w:rFonts w:cs="Arial"/>
          <w:b w:val="0"/>
          <w:sz w:val="18"/>
          <w:szCs w:val="20"/>
        </w:rPr>
        <w:t>Schematische Darstellung der angewendeten Untersuchungsmethodik</w:t>
      </w:r>
    </w:p>
    <w:p w14:paraId="7BC9C322" w14:textId="5EAD09D8" w:rsidR="00DE2849" w:rsidRPr="00656977" w:rsidRDefault="00FB2BBC" w:rsidP="00656977">
      <w:pPr>
        <w:spacing w:after="120"/>
        <w:rPr>
          <w:rFonts w:cs="Arial"/>
          <w:szCs w:val="20"/>
        </w:rPr>
      </w:pPr>
      <w:r w:rsidRPr="00656977">
        <w:rPr>
          <w:rFonts w:cs="Arial"/>
          <w:szCs w:val="20"/>
        </w:rPr>
        <w:t xml:space="preserve">Der zweite </w:t>
      </w:r>
      <w:r w:rsidR="00D20C1A">
        <w:rPr>
          <w:rFonts w:cs="Arial"/>
          <w:szCs w:val="20"/>
        </w:rPr>
        <w:t xml:space="preserve">Schritt </w:t>
      </w:r>
      <w:r w:rsidR="006A07FB">
        <w:rPr>
          <w:rFonts w:cs="Arial"/>
          <w:szCs w:val="20"/>
        </w:rPr>
        <w:t>umfasst</w:t>
      </w:r>
      <w:r w:rsidR="006A07FB" w:rsidRPr="00656977">
        <w:rPr>
          <w:rFonts w:cs="Arial"/>
          <w:szCs w:val="20"/>
        </w:rPr>
        <w:t xml:space="preserve"> </w:t>
      </w:r>
      <w:r w:rsidRPr="00656977">
        <w:rPr>
          <w:rFonts w:cs="Arial"/>
          <w:szCs w:val="20"/>
        </w:rPr>
        <w:t xml:space="preserve">die bibliometrische Analyse </w:t>
      </w:r>
      <w:r w:rsidR="00DD5154">
        <w:rPr>
          <w:rFonts w:cs="Arial"/>
          <w:szCs w:val="20"/>
        </w:rPr>
        <w:t>der</w:t>
      </w:r>
      <w:r w:rsidR="00DD5154" w:rsidRPr="00656977">
        <w:rPr>
          <w:rFonts w:cs="Arial"/>
          <w:szCs w:val="20"/>
        </w:rPr>
        <w:t xml:space="preserve"> </w:t>
      </w:r>
      <w:r w:rsidRPr="00656977">
        <w:rPr>
          <w:rFonts w:cs="Arial"/>
          <w:szCs w:val="20"/>
        </w:rPr>
        <w:t>erhobenen Daten zur</w:t>
      </w:r>
      <w:r w:rsidR="00A03D74">
        <w:rPr>
          <w:rFonts w:cs="Arial"/>
          <w:szCs w:val="20"/>
        </w:rPr>
        <w:t xml:space="preserve"> </w:t>
      </w:r>
      <w:r w:rsidRPr="00656977">
        <w:rPr>
          <w:rFonts w:cs="Arial"/>
          <w:szCs w:val="20"/>
        </w:rPr>
        <w:t>Bewertung</w:t>
      </w:r>
      <w:r w:rsidR="00A03D74">
        <w:rPr>
          <w:rFonts w:cs="Arial"/>
          <w:szCs w:val="20"/>
        </w:rPr>
        <w:t xml:space="preserve"> des aktuellen Entwicklungsstands der Blockchain</w:t>
      </w:r>
      <w:r w:rsidR="003A4B53" w:rsidRPr="00656977">
        <w:rPr>
          <w:rFonts w:cs="Arial"/>
          <w:szCs w:val="20"/>
        </w:rPr>
        <w:t>-</w:t>
      </w:r>
      <w:r w:rsidR="00A03D74">
        <w:rPr>
          <w:rFonts w:cs="Arial"/>
          <w:szCs w:val="20"/>
        </w:rPr>
        <w:t>Technologie</w:t>
      </w:r>
      <w:r w:rsidRPr="00656977">
        <w:rPr>
          <w:rFonts w:cs="Arial"/>
          <w:szCs w:val="20"/>
        </w:rPr>
        <w:t xml:space="preserve"> </w:t>
      </w:r>
      <w:r w:rsidR="00D552CC" w:rsidRPr="00656977">
        <w:rPr>
          <w:rFonts w:cs="Arial"/>
          <w:szCs w:val="20"/>
        </w:rPr>
        <w:t>sowie der</w:t>
      </w:r>
      <w:r w:rsidRPr="00656977">
        <w:rPr>
          <w:rFonts w:cs="Arial"/>
          <w:szCs w:val="20"/>
        </w:rPr>
        <w:t xml:space="preserve"> Einordnung in den </w:t>
      </w:r>
      <w:r w:rsidR="00DE2849" w:rsidRPr="007712DE">
        <w:rPr>
          <w:rFonts w:cs="Arial"/>
          <w:szCs w:val="20"/>
        </w:rPr>
        <w:t>Gartner Hype Cycle</w:t>
      </w:r>
      <w:r w:rsidRPr="00656977">
        <w:rPr>
          <w:rFonts w:cs="Arial"/>
          <w:szCs w:val="20"/>
        </w:rPr>
        <w:t xml:space="preserve"> </w:t>
      </w:r>
      <w:r w:rsidR="00CE5879">
        <w:rPr>
          <w:rFonts w:cs="Arial"/>
          <w:szCs w:val="20"/>
        </w:rPr>
        <w:t xml:space="preserve">(GHC) </w:t>
      </w:r>
      <w:r w:rsidR="00567EDD" w:rsidRPr="00B4194E">
        <w:rPr>
          <w:rFonts w:cs="Arial"/>
          <w:szCs w:val="20"/>
        </w:rPr>
        <w:t>[</w:t>
      </w:r>
      <w:r w:rsidR="008F533A" w:rsidRPr="00656977">
        <w:rPr>
          <w:rFonts w:cs="Arial"/>
          <w:szCs w:val="20"/>
        </w:rPr>
        <w:t>6</w:t>
      </w:r>
      <w:r w:rsidR="00567EDD" w:rsidRPr="00B4194E">
        <w:rPr>
          <w:rFonts w:cs="Arial"/>
          <w:szCs w:val="20"/>
        </w:rPr>
        <w:t>]</w:t>
      </w:r>
      <w:r w:rsidR="00DE2849" w:rsidRPr="007712DE">
        <w:rPr>
          <w:rFonts w:cs="Arial"/>
          <w:szCs w:val="20"/>
        </w:rPr>
        <w:t xml:space="preserve">. </w:t>
      </w:r>
      <w:r w:rsidR="00BA6C42">
        <w:rPr>
          <w:rFonts w:cs="Arial"/>
          <w:szCs w:val="20"/>
        </w:rPr>
        <w:t xml:space="preserve">Dieser Ansatz </w:t>
      </w:r>
      <w:r w:rsidR="00365542">
        <w:rPr>
          <w:rFonts w:cs="Arial"/>
          <w:szCs w:val="20"/>
        </w:rPr>
        <w:t>gilt</w:t>
      </w:r>
      <w:r w:rsidR="00BA6C42">
        <w:rPr>
          <w:rFonts w:cs="Arial"/>
          <w:szCs w:val="20"/>
        </w:rPr>
        <w:t xml:space="preserve">, neben klassischen qualitativen </w:t>
      </w:r>
      <w:r w:rsidRPr="00656977">
        <w:rPr>
          <w:rFonts w:cs="Arial"/>
          <w:szCs w:val="20"/>
        </w:rPr>
        <w:t xml:space="preserve">und quantitativen </w:t>
      </w:r>
      <w:r w:rsidR="00BA6C42">
        <w:rPr>
          <w:rFonts w:cs="Arial"/>
          <w:szCs w:val="20"/>
        </w:rPr>
        <w:t>Methoden</w:t>
      </w:r>
      <w:r w:rsidR="00D552CC" w:rsidRPr="00656977">
        <w:rPr>
          <w:rFonts w:cs="Arial"/>
          <w:szCs w:val="20"/>
        </w:rPr>
        <w:t xml:space="preserve"> der Technologiebewertung</w:t>
      </w:r>
      <w:r w:rsidR="00BA6C42">
        <w:rPr>
          <w:rFonts w:cs="Arial"/>
          <w:szCs w:val="20"/>
        </w:rPr>
        <w:t xml:space="preserve">, </w:t>
      </w:r>
      <w:r w:rsidR="00365542">
        <w:rPr>
          <w:rFonts w:cs="Arial"/>
          <w:szCs w:val="20"/>
        </w:rPr>
        <w:t xml:space="preserve">als </w:t>
      </w:r>
      <w:r w:rsidRPr="00656977">
        <w:rPr>
          <w:rFonts w:cs="Arial"/>
          <w:szCs w:val="20"/>
        </w:rPr>
        <w:t xml:space="preserve">ein </w:t>
      </w:r>
      <w:r w:rsidR="00365542">
        <w:rPr>
          <w:rFonts w:cs="Arial"/>
          <w:szCs w:val="20"/>
        </w:rPr>
        <w:t xml:space="preserve">etabliertes Instrument zur </w:t>
      </w:r>
      <w:r w:rsidRPr="00656977">
        <w:rPr>
          <w:rFonts w:cs="Arial"/>
          <w:szCs w:val="20"/>
        </w:rPr>
        <w:t xml:space="preserve">Identifikation </w:t>
      </w:r>
      <w:r w:rsidR="00365542">
        <w:rPr>
          <w:rFonts w:cs="Arial"/>
          <w:szCs w:val="20"/>
        </w:rPr>
        <w:t>branchenübergreifender Trends sowie der Einschätzung des Entwicklungssta</w:t>
      </w:r>
      <w:r w:rsidRPr="00656977">
        <w:rPr>
          <w:rFonts w:cs="Arial"/>
          <w:szCs w:val="20"/>
        </w:rPr>
        <w:t>ndes einer Technologie</w:t>
      </w:r>
      <w:r w:rsidR="00365542">
        <w:rPr>
          <w:rFonts w:cs="Arial"/>
          <w:szCs w:val="20"/>
        </w:rPr>
        <w:t>.</w:t>
      </w:r>
      <w:r w:rsidR="002146C1">
        <w:rPr>
          <w:rFonts w:cs="Arial"/>
          <w:szCs w:val="20"/>
        </w:rPr>
        <w:t xml:space="preserve"> </w:t>
      </w:r>
      <w:r w:rsidRPr="00656977">
        <w:rPr>
          <w:rFonts w:cs="Arial"/>
          <w:szCs w:val="20"/>
        </w:rPr>
        <w:t xml:space="preserve">An dem </w:t>
      </w:r>
      <w:r w:rsidR="009E5A67" w:rsidRPr="00656977">
        <w:rPr>
          <w:rFonts w:cs="Arial"/>
          <w:szCs w:val="20"/>
        </w:rPr>
        <w:t xml:space="preserve">Ansatz </w:t>
      </w:r>
      <w:r w:rsidRPr="00656977">
        <w:rPr>
          <w:rFonts w:cs="Arial"/>
          <w:szCs w:val="20"/>
        </w:rPr>
        <w:t xml:space="preserve">des </w:t>
      </w:r>
      <w:r w:rsidR="009E5A67" w:rsidRPr="007712DE">
        <w:rPr>
          <w:rFonts w:cs="Arial"/>
          <w:szCs w:val="20"/>
        </w:rPr>
        <w:t>Gartner Hype Cycle</w:t>
      </w:r>
      <w:r w:rsidRPr="00656977">
        <w:rPr>
          <w:rFonts w:cs="Arial"/>
          <w:szCs w:val="20"/>
        </w:rPr>
        <w:t xml:space="preserve"> wird die Kritik geäußert, dass</w:t>
      </w:r>
      <w:r w:rsidR="00B00D22">
        <w:rPr>
          <w:rFonts w:cs="Arial"/>
          <w:szCs w:val="20"/>
        </w:rPr>
        <w:t xml:space="preserve"> die </w:t>
      </w:r>
      <w:r w:rsidRPr="00656977">
        <w:rPr>
          <w:rFonts w:cs="Arial"/>
          <w:szCs w:val="20"/>
        </w:rPr>
        <w:t xml:space="preserve">Methodik undurchsichtig </w:t>
      </w:r>
      <w:r w:rsidR="00DF38FF">
        <w:rPr>
          <w:rFonts w:cs="Arial"/>
          <w:szCs w:val="20"/>
        </w:rPr>
        <w:t>ausfalle</w:t>
      </w:r>
      <w:r w:rsidR="00B00D22">
        <w:rPr>
          <w:rFonts w:cs="Arial"/>
          <w:szCs w:val="20"/>
        </w:rPr>
        <w:t xml:space="preserve">. </w:t>
      </w:r>
      <w:r w:rsidRPr="00656977">
        <w:rPr>
          <w:rFonts w:cs="Arial"/>
          <w:szCs w:val="20"/>
        </w:rPr>
        <w:t xml:space="preserve">Der vorliegende Beitrag </w:t>
      </w:r>
      <w:r w:rsidR="009F150A">
        <w:rPr>
          <w:rFonts w:cs="Arial"/>
          <w:szCs w:val="20"/>
        </w:rPr>
        <w:t>greift</w:t>
      </w:r>
      <w:r w:rsidR="00F91319" w:rsidRPr="00656977">
        <w:rPr>
          <w:rFonts w:cs="Arial"/>
          <w:szCs w:val="20"/>
        </w:rPr>
        <w:t xml:space="preserve"> </w:t>
      </w:r>
      <w:r w:rsidRPr="00656977">
        <w:rPr>
          <w:rFonts w:cs="Arial"/>
          <w:szCs w:val="20"/>
        </w:rPr>
        <w:t>diese Kritik durch die</w:t>
      </w:r>
      <w:r w:rsidR="00B00D22">
        <w:rPr>
          <w:rFonts w:cs="Arial"/>
          <w:szCs w:val="20"/>
        </w:rPr>
        <w:t xml:space="preserve"> Kombination einer </w:t>
      </w:r>
      <w:r w:rsidR="003A4B53" w:rsidRPr="00656977">
        <w:rPr>
          <w:rFonts w:cs="Arial"/>
          <w:szCs w:val="20"/>
        </w:rPr>
        <w:t>systematischen</w:t>
      </w:r>
      <w:r w:rsidRPr="00656977">
        <w:rPr>
          <w:rFonts w:cs="Arial"/>
          <w:szCs w:val="20"/>
        </w:rPr>
        <w:t xml:space="preserve"> </w:t>
      </w:r>
      <w:r w:rsidR="00B00D22">
        <w:rPr>
          <w:rFonts w:cs="Arial"/>
          <w:szCs w:val="20"/>
        </w:rPr>
        <w:t>Literatu</w:t>
      </w:r>
      <w:r w:rsidRPr="00656977">
        <w:rPr>
          <w:rFonts w:cs="Arial"/>
          <w:szCs w:val="20"/>
        </w:rPr>
        <w:t xml:space="preserve">rrecherche </w:t>
      </w:r>
      <w:r w:rsidR="003A4B53" w:rsidRPr="00656977">
        <w:rPr>
          <w:rFonts w:cs="Arial"/>
          <w:szCs w:val="20"/>
        </w:rPr>
        <w:t>mit einer</w:t>
      </w:r>
      <w:r w:rsidRPr="00656977">
        <w:rPr>
          <w:rFonts w:cs="Arial"/>
          <w:szCs w:val="20"/>
        </w:rPr>
        <w:t xml:space="preserve"> </w:t>
      </w:r>
      <w:r w:rsidR="003A4B53" w:rsidRPr="00656977">
        <w:rPr>
          <w:rFonts w:cs="Arial"/>
          <w:szCs w:val="20"/>
        </w:rPr>
        <w:t>textbasierten A</w:t>
      </w:r>
      <w:r w:rsidR="0017680C">
        <w:rPr>
          <w:rFonts w:cs="Arial"/>
          <w:szCs w:val="20"/>
        </w:rPr>
        <w:t>nalyse</w:t>
      </w:r>
      <w:r w:rsidR="003A4B53" w:rsidRPr="00656977">
        <w:rPr>
          <w:rFonts w:cs="Arial"/>
          <w:szCs w:val="20"/>
        </w:rPr>
        <w:t>methode</w:t>
      </w:r>
      <w:r w:rsidR="00F91319">
        <w:rPr>
          <w:rFonts w:cs="Arial"/>
          <w:szCs w:val="20"/>
        </w:rPr>
        <w:t xml:space="preserve"> auf</w:t>
      </w:r>
      <w:r w:rsidR="00353F62">
        <w:rPr>
          <w:rFonts w:cs="Arial"/>
          <w:szCs w:val="20"/>
        </w:rPr>
        <w:t xml:space="preserve"> und liefert </w:t>
      </w:r>
      <w:r w:rsidR="009E5A67" w:rsidRPr="00656977">
        <w:rPr>
          <w:rFonts w:cs="Arial"/>
          <w:szCs w:val="20"/>
        </w:rPr>
        <w:t xml:space="preserve">einen Beitrag zur höheren Transparenz und </w:t>
      </w:r>
      <w:r w:rsidR="0017680C">
        <w:rPr>
          <w:rFonts w:cs="Arial"/>
          <w:szCs w:val="20"/>
        </w:rPr>
        <w:t xml:space="preserve">Nachvollziehbarkeit </w:t>
      </w:r>
      <w:r w:rsidR="00D552CC" w:rsidRPr="00656977">
        <w:rPr>
          <w:rFonts w:cs="Arial"/>
          <w:szCs w:val="20"/>
        </w:rPr>
        <w:t>der Einschätzung</w:t>
      </w:r>
      <w:r w:rsidR="009E5A67" w:rsidRPr="00656977">
        <w:rPr>
          <w:rFonts w:cs="Arial"/>
          <w:szCs w:val="20"/>
        </w:rPr>
        <w:t>.</w:t>
      </w:r>
      <w:r w:rsidR="00353F62">
        <w:rPr>
          <w:rFonts w:cs="Arial"/>
          <w:szCs w:val="20"/>
        </w:rPr>
        <w:t xml:space="preserve"> </w:t>
      </w:r>
      <w:r w:rsidR="00DC77FE">
        <w:rPr>
          <w:rFonts w:cs="Arial"/>
          <w:szCs w:val="20"/>
        </w:rPr>
        <w:t xml:space="preserve">Nachfolgend werden in einer </w:t>
      </w:r>
      <w:r w:rsidR="00D76A8F">
        <w:rPr>
          <w:rFonts w:cs="Arial"/>
          <w:szCs w:val="20"/>
        </w:rPr>
        <w:t>nachgelagerten</w:t>
      </w:r>
      <w:r w:rsidR="005D7971" w:rsidRPr="00656977">
        <w:rPr>
          <w:rFonts w:cs="Arial"/>
          <w:szCs w:val="20"/>
        </w:rPr>
        <w:t xml:space="preserve"> Analyse </w:t>
      </w:r>
      <w:r w:rsidR="00DE2849" w:rsidRPr="007712DE">
        <w:rPr>
          <w:rFonts w:cs="Arial"/>
          <w:szCs w:val="20"/>
        </w:rPr>
        <w:t xml:space="preserve">Forschungsschwerpunkte </w:t>
      </w:r>
      <w:r w:rsidR="006163E9">
        <w:rPr>
          <w:rFonts w:cs="Arial"/>
          <w:szCs w:val="20"/>
        </w:rPr>
        <w:t xml:space="preserve">sowie bisher </w:t>
      </w:r>
      <w:r w:rsidR="006163E9">
        <w:rPr>
          <w:rFonts w:cs="Arial"/>
          <w:szCs w:val="20"/>
        </w:rPr>
        <w:lastRenderedPageBreak/>
        <w:t xml:space="preserve">nicht </w:t>
      </w:r>
      <w:r w:rsidR="00DE2849" w:rsidRPr="007712DE">
        <w:rPr>
          <w:rFonts w:cs="Arial"/>
          <w:szCs w:val="20"/>
        </w:rPr>
        <w:t xml:space="preserve">adressierte Forschungsbereiche </w:t>
      </w:r>
      <w:r w:rsidR="00427BE2">
        <w:rPr>
          <w:rFonts w:cs="Arial"/>
          <w:szCs w:val="20"/>
        </w:rPr>
        <w:t>auf</w:t>
      </w:r>
      <w:r w:rsidR="003A4B53" w:rsidRPr="00656977">
        <w:rPr>
          <w:rFonts w:cs="Arial"/>
          <w:szCs w:val="20"/>
        </w:rPr>
        <w:t>ge</w:t>
      </w:r>
      <w:r w:rsidR="00427BE2">
        <w:rPr>
          <w:rFonts w:cs="Arial"/>
          <w:szCs w:val="20"/>
        </w:rPr>
        <w:t>deck</w:t>
      </w:r>
      <w:r w:rsidR="00656977">
        <w:rPr>
          <w:rFonts w:cs="Arial"/>
          <w:szCs w:val="20"/>
        </w:rPr>
        <w:t>t</w:t>
      </w:r>
      <w:r w:rsidR="00DE2849" w:rsidRPr="007712DE">
        <w:rPr>
          <w:rFonts w:cs="Arial"/>
          <w:szCs w:val="20"/>
        </w:rPr>
        <w:t>.</w:t>
      </w:r>
      <w:r w:rsidR="00353F62">
        <w:rPr>
          <w:rFonts w:cs="Arial"/>
          <w:szCs w:val="20"/>
        </w:rPr>
        <w:t xml:space="preserve"> Dadurch ist </w:t>
      </w:r>
      <w:r w:rsidR="00BE4967">
        <w:rPr>
          <w:rFonts w:cs="Arial"/>
          <w:szCs w:val="20"/>
        </w:rPr>
        <w:t>eine Einschätzung möglich, welche</w:t>
      </w:r>
      <w:r w:rsidR="00353F62">
        <w:rPr>
          <w:rFonts w:cs="Arial"/>
          <w:szCs w:val="20"/>
        </w:rPr>
        <w:t xml:space="preserve"> B</w:t>
      </w:r>
      <w:r w:rsidR="009E5A67" w:rsidRPr="00656977">
        <w:rPr>
          <w:rFonts w:cs="Arial"/>
          <w:szCs w:val="20"/>
        </w:rPr>
        <w:t>ereiche</w:t>
      </w:r>
      <w:r w:rsidR="00BE4967">
        <w:rPr>
          <w:rFonts w:cs="Arial"/>
          <w:szCs w:val="20"/>
        </w:rPr>
        <w:t xml:space="preserve"> </w:t>
      </w:r>
      <w:r w:rsidR="003A4B53" w:rsidRPr="00656977">
        <w:rPr>
          <w:rFonts w:cs="Arial"/>
          <w:szCs w:val="20"/>
        </w:rPr>
        <w:t xml:space="preserve">zukünftig </w:t>
      </w:r>
      <w:r w:rsidR="00BE4967">
        <w:rPr>
          <w:rFonts w:cs="Arial"/>
          <w:szCs w:val="20"/>
        </w:rPr>
        <w:t xml:space="preserve">als vielsprechend </w:t>
      </w:r>
      <w:r w:rsidR="00E701DF">
        <w:rPr>
          <w:rFonts w:cs="Arial"/>
          <w:szCs w:val="20"/>
        </w:rPr>
        <w:t xml:space="preserve">für eine </w:t>
      </w:r>
      <w:r w:rsidR="009E5A67" w:rsidRPr="00656977">
        <w:rPr>
          <w:rFonts w:cs="Arial"/>
          <w:szCs w:val="20"/>
        </w:rPr>
        <w:t xml:space="preserve">Anwendung </w:t>
      </w:r>
      <w:r w:rsidR="00E701DF">
        <w:rPr>
          <w:rFonts w:cs="Arial"/>
          <w:szCs w:val="20"/>
        </w:rPr>
        <w:t xml:space="preserve">der Blockchain-Technologie </w:t>
      </w:r>
      <w:r w:rsidR="003A4B53" w:rsidRPr="00656977">
        <w:rPr>
          <w:rFonts w:cs="Arial"/>
          <w:szCs w:val="20"/>
        </w:rPr>
        <w:t xml:space="preserve">in der Energiewirtschaft </w:t>
      </w:r>
      <w:r w:rsidR="00E701DF">
        <w:rPr>
          <w:rFonts w:cs="Arial"/>
          <w:szCs w:val="20"/>
        </w:rPr>
        <w:t>gelten.</w:t>
      </w:r>
    </w:p>
    <w:p w14:paraId="7C59A6BE" w14:textId="11B1ECBB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394CFA2C" w14:textId="77A6E61E" w:rsidR="00B32290" w:rsidRPr="00656977" w:rsidRDefault="00925C05" w:rsidP="00656977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>Eine erste</w:t>
      </w:r>
      <w:r w:rsidRPr="00656977">
        <w:rPr>
          <w:rFonts w:cs="Arial"/>
          <w:szCs w:val="20"/>
        </w:rPr>
        <w:t xml:space="preserve"> </w:t>
      </w:r>
      <w:r w:rsidR="00F33082">
        <w:rPr>
          <w:rFonts w:cs="Arial"/>
          <w:szCs w:val="20"/>
        </w:rPr>
        <w:t>A</w:t>
      </w:r>
      <w:r w:rsidR="00DE2849" w:rsidRPr="00656977">
        <w:rPr>
          <w:rFonts w:cs="Arial"/>
          <w:szCs w:val="20"/>
        </w:rPr>
        <w:t xml:space="preserve">uswertung der Literatur- und Patentdaten zeigt, dass die Ergebnisse der </w:t>
      </w:r>
      <w:r w:rsidR="00CE5879">
        <w:rPr>
          <w:rFonts w:cs="Arial"/>
          <w:szCs w:val="20"/>
        </w:rPr>
        <w:t>Blockchain</w:t>
      </w:r>
      <w:r w:rsidR="00DE2849" w:rsidRPr="00656977">
        <w:rPr>
          <w:rFonts w:cs="Arial"/>
          <w:szCs w:val="20"/>
        </w:rPr>
        <w:t>-Forschung und -</w:t>
      </w:r>
      <w:r w:rsidR="00ED4020">
        <w:rPr>
          <w:rFonts w:cs="Arial"/>
          <w:szCs w:val="20"/>
        </w:rPr>
        <w:t>e</w:t>
      </w:r>
      <w:r w:rsidR="00ED4020" w:rsidRPr="00656977">
        <w:rPr>
          <w:rFonts w:cs="Arial"/>
          <w:szCs w:val="20"/>
        </w:rPr>
        <w:t xml:space="preserve">ntwicklung </w:t>
      </w:r>
      <w:r w:rsidR="008E12A7">
        <w:rPr>
          <w:rFonts w:cs="Arial"/>
          <w:szCs w:val="20"/>
        </w:rPr>
        <w:t>in der Energiewirtschaft</w:t>
      </w:r>
      <w:r w:rsidR="00CD6997">
        <w:rPr>
          <w:rFonts w:cs="Arial"/>
          <w:szCs w:val="20"/>
        </w:rPr>
        <w:t xml:space="preserve"> </w:t>
      </w:r>
      <w:r w:rsidR="00063CDC">
        <w:rPr>
          <w:rFonts w:cs="Arial"/>
          <w:szCs w:val="20"/>
        </w:rPr>
        <w:t>im</w:t>
      </w:r>
      <w:r w:rsidR="00DE2849" w:rsidRPr="00656977">
        <w:rPr>
          <w:rFonts w:cs="Arial"/>
          <w:szCs w:val="20"/>
        </w:rPr>
        <w:t xml:space="preserve"> Jahr 2017 </w:t>
      </w:r>
      <w:r w:rsidR="00063CDC">
        <w:rPr>
          <w:rFonts w:cs="Arial"/>
          <w:szCs w:val="20"/>
        </w:rPr>
        <w:t xml:space="preserve">begannen </w:t>
      </w:r>
      <w:r w:rsidR="00DE2849" w:rsidRPr="00656977">
        <w:rPr>
          <w:rFonts w:cs="Arial"/>
          <w:szCs w:val="20"/>
        </w:rPr>
        <w:t xml:space="preserve">und </w:t>
      </w:r>
      <w:r w:rsidR="00887AC7">
        <w:rPr>
          <w:rFonts w:cs="Arial"/>
          <w:szCs w:val="20"/>
        </w:rPr>
        <w:t xml:space="preserve">seitdem </w:t>
      </w:r>
      <w:r w:rsidR="00DE2849" w:rsidRPr="00656977">
        <w:rPr>
          <w:rFonts w:cs="Arial"/>
          <w:szCs w:val="20"/>
        </w:rPr>
        <w:t xml:space="preserve">die Anzahl der Publikationen ansteigt. </w:t>
      </w:r>
      <w:r w:rsidR="008E12A7">
        <w:rPr>
          <w:rFonts w:cs="Arial"/>
          <w:szCs w:val="20"/>
        </w:rPr>
        <w:t xml:space="preserve">Gemessen an den </w:t>
      </w:r>
      <w:r w:rsidR="00F33082">
        <w:rPr>
          <w:rFonts w:cs="Arial"/>
          <w:szCs w:val="20"/>
        </w:rPr>
        <w:t>an</w:t>
      </w:r>
      <w:r w:rsidR="008E12A7">
        <w:rPr>
          <w:rFonts w:cs="Arial"/>
          <w:szCs w:val="20"/>
        </w:rPr>
        <w:t>steigenden Forschungs- und Entwicklungsaktivitäten</w:t>
      </w:r>
      <w:r w:rsidR="00F33082">
        <w:rPr>
          <w:rFonts w:cs="Arial"/>
          <w:szCs w:val="20"/>
        </w:rPr>
        <w:t>,</w:t>
      </w:r>
      <w:r w:rsidR="008E12A7">
        <w:rPr>
          <w:rFonts w:cs="Arial"/>
          <w:szCs w:val="20"/>
        </w:rPr>
        <w:t xml:space="preserve"> widerspricht die </w:t>
      </w:r>
      <w:r w:rsidR="00DE2849" w:rsidRPr="00656977">
        <w:rPr>
          <w:rFonts w:cs="Arial"/>
          <w:szCs w:val="20"/>
        </w:rPr>
        <w:t xml:space="preserve">Einordnung der Blockchain-Technologie </w:t>
      </w:r>
      <w:r w:rsidR="008E12A7">
        <w:rPr>
          <w:rFonts w:cs="Arial"/>
          <w:szCs w:val="20"/>
        </w:rPr>
        <w:t xml:space="preserve">des vorliegenden Beitrages </w:t>
      </w:r>
      <w:r w:rsidR="00DE2849" w:rsidRPr="00656977">
        <w:rPr>
          <w:rFonts w:cs="Arial"/>
          <w:szCs w:val="20"/>
        </w:rPr>
        <w:t>i</w:t>
      </w:r>
      <w:r w:rsidR="008E12A7">
        <w:rPr>
          <w:rFonts w:cs="Arial"/>
          <w:szCs w:val="20"/>
        </w:rPr>
        <w:t xml:space="preserve">n den </w:t>
      </w:r>
      <w:r w:rsidR="00DE2849" w:rsidRPr="00656977">
        <w:rPr>
          <w:rFonts w:cs="Arial"/>
          <w:szCs w:val="20"/>
        </w:rPr>
        <w:t xml:space="preserve">Gartner Hype Cycle </w:t>
      </w:r>
      <w:r w:rsidR="008E12A7">
        <w:rPr>
          <w:rFonts w:cs="Arial"/>
          <w:szCs w:val="20"/>
        </w:rPr>
        <w:t xml:space="preserve">den </w:t>
      </w:r>
      <w:r w:rsidR="00DE2849" w:rsidRPr="00656977">
        <w:rPr>
          <w:rFonts w:cs="Arial"/>
          <w:szCs w:val="20"/>
        </w:rPr>
        <w:t>bisherigen Veröffentlichungen des Forschungs- und Beratungsunternehmens Gartner</w:t>
      </w:r>
      <w:r w:rsidR="003A4B53" w:rsidRPr="00656977">
        <w:rPr>
          <w:rFonts w:cs="Arial"/>
          <w:szCs w:val="20"/>
        </w:rPr>
        <w:t xml:space="preserve"> [7]</w:t>
      </w:r>
      <w:r w:rsidR="00DE2849" w:rsidRPr="00656977">
        <w:rPr>
          <w:rFonts w:cs="Arial"/>
          <w:szCs w:val="20"/>
        </w:rPr>
        <w:t>.</w:t>
      </w:r>
    </w:p>
    <w:p w14:paraId="4CEE2F2A" w14:textId="77DA0CF0" w:rsidR="005E4D4F" w:rsidRDefault="004D3C61" w:rsidP="00092B20">
      <w:pPr>
        <w:jc w:val="center"/>
      </w:pPr>
      <w:r>
        <w:rPr>
          <w:rFonts w:cs="Arial"/>
          <w:b/>
          <w:noProof/>
          <w:szCs w:val="20"/>
        </w:rPr>
        <w:drawing>
          <wp:inline distT="0" distB="0" distL="0" distR="0" wp14:anchorId="48A9B190" wp14:editId="0B4BEB21">
            <wp:extent cx="3960000" cy="2589895"/>
            <wp:effectExtent l="0" t="0" r="254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8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50E4E" w14:textId="5A9C3FF0" w:rsidR="005D7971" w:rsidRPr="005D7971" w:rsidRDefault="005D7971" w:rsidP="00092B20">
      <w:pPr>
        <w:pStyle w:val="Ueberschrift"/>
        <w:tabs>
          <w:tab w:val="left" w:pos="1418"/>
        </w:tabs>
        <w:spacing w:before="0" w:after="180"/>
        <w:ind w:firstLine="284"/>
        <w:rPr>
          <w:rFonts w:cs="Arial"/>
          <w:b w:val="0"/>
          <w:sz w:val="18"/>
          <w:szCs w:val="20"/>
        </w:rPr>
      </w:pPr>
      <w:r w:rsidRPr="005D7971">
        <w:rPr>
          <w:rFonts w:cs="Arial"/>
          <w:sz w:val="18"/>
          <w:szCs w:val="20"/>
        </w:rPr>
        <w:t xml:space="preserve">Abbildung </w:t>
      </w:r>
      <w:r>
        <w:rPr>
          <w:rFonts w:cs="Arial"/>
          <w:sz w:val="18"/>
          <w:szCs w:val="20"/>
        </w:rPr>
        <w:t>2</w:t>
      </w:r>
      <w:r w:rsidRPr="005D7971">
        <w:rPr>
          <w:rFonts w:cs="Arial"/>
          <w:sz w:val="18"/>
          <w:szCs w:val="20"/>
        </w:rPr>
        <w:t>:</w:t>
      </w:r>
      <w:r w:rsidRPr="005D7971">
        <w:rPr>
          <w:rFonts w:cs="Arial"/>
          <w:b w:val="0"/>
          <w:sz w:val="18"/>
          <w:szCs w:val="20"/>
        </w:rPr>
        <w:tab/>
      </w:r>
      <w:r w:rsidR="00092B20">
        <w:rPr>
          <w:rFonts w:cs="Arial"/>
          <w:b w:val="0"/>
          <w:sz w:val="18"/>
          <w:szCs w:val="20"/>
        </w:rPr>
        <w:t xml:space="preserve">Erste Ergebnisse </w:t>
      </w:r>
      <w:r w:rsidR="00656977">
        <w:rPr>
          <w:rFonts w:cs="Arial"/>
          <w:b w:val="0"/>
          <w:sz w:val="18"/>
          <w:szCs w:val="20"/>
        </w:rPr>
        <w:t xml:space="preserve">der </w:t>
      </w:r>
      <w:r w:rsidR="00656977" w:rsidRPr="00656977">
        <w:rPr>
          <w:rFonts w:cs="Arial"/>
          <w:b w:val="0"/>
          <w:sz w:val="18"/>
          <w:szCs w:val="20"/>
        </w:rPr>
        <w:t xml:space="preserve">Untersuchung </w:t>
      </w:r>
      <w:r w:rsidR="00D02F41">
        <w:rPr>
          <w:rFonts w:cs="Arial"/>
          <w:b w:val="0"/>
          <w:sz w:val="18"/>
          <w:szCs w:val="20"/>
        </w:rPr>
        <w:t>der</w:t>
      </w:r>
      <w:r w:rsidR="00656977">
        <w:rPr>
          <w:rFonts w:cs="Arial"/>
          <w:b w:val="0"/>
          <w:sz w:val="18"/>
          <w:szCs w:val="20"/>
        </w:rPr>
        <w:t xml:space="preserve"> </w:t>
      </w:r>
      <w:r w:rsidR="00656977" w:rsidRPr="00656977">
        <w:rPr>
          <w:rFonts w:cs="Arial"/>
          <w:b w:val="0"/>
          <w:sz w:val="18"/>
          <w:szCs w:val="20"/>
        </w:rPr>
        <w:t xml:space="preserve">Forschungsschwerpunkte </w:t>
      </w:r>
      <w:r w:rsidR="00D02F41">
        <w:rPr>
          <w:rFonts w:cs="Arial"/>
          <w:b w:val="0"/>
          <w:sz w:val="18"/>
          <w:szCs w:val="20"/>
        </w:rPr>
        <w:t>zur</w:t>
      </w:r>
      <w:r w:rsidR="00092B20">
        <w:rPr>
          <w:rFonts w:cs="Arial"/>
          <w:b w:val="0"/>
          <w:sz w:val="18"/>
          <w:szCs w:val="20"/>
        </w:rPr>
        <w:t xml:space="preserve"> Blockchain-Technologie</w:t>
      </w:r>
    </w:p>
    <w:p w14:paraId="398304CB" w14:textId="5F4B42AB" w:rsidR="00656977" w:rsidRDefault="00656977" w:rsidP="00656977">
      <w:pPr>
        <w:spacing w:after="120"/>
        <w:rPr>
          <w:rFonts w:cs="Arial"/>
          <w:szCs w:val="20"/>
        </w:rPr>
      </w:pPr>
      <w:r w:rsidRPr="00656977">
        <w:rPr>
          <w:rFonts w:cs="Arial"/>
          <w:szCs w:val="20"/>
        </w:rPr>
        <w:t>In Abbildung</w:t>
      </w:r>
      <w:r>
        <w:rPr>
          <w:rFonts w:cs="Arial"/>
          <w:szCs w:val="20"/>
        </w:rPr>
        <w:t> </w:t>
      </w:r>
      <w:r w:rsidRPr="00656977">
        <w:rPr>
          <w:rFonts w:cs="Arial"/>
          <w:szCs w:val="20"/>
        </w:rPr>
        <w:t>2 sind</w:t>
      </w:r>
      <w:r w:rsidR="00735758">
        <w:rPr>
          <w:rFonts w:cs="Arial"/>
          <w:szCs w:val="20"/>
        </w:rPr>
        <w:t xml:space="preserve"> diese</w:t>
      </w:r>
      <w:r w:rsidRPr="00656977">
        <w:rPr>
          <w:rFonts w:cs="Arial"/>
          <w:szCs w:val="20"/>
        </w:rPr>
        <w:t xml:space="preserve"> erste</w:t>
      </w:r>
      <w:r w:rsidR="00735758">
        <w:rPr>
          <w:rFonts w:cs="Arial"/>
          <w:szCs w:val="20"/>
        </w:rPr>
        <w:t>n</w:t>
      </w:r>
      <w:r w:rsidRPr="00656977">
        <w:rPr>
          <w:rFonts w:cs="Arial"/>
          <w:szCs w:val="20"/>
        </w:rPr>
        <w:t xml:space="preserve"> Ergebnisse der Untersuchung </w:t>
      </w:r>
      <w:r>
        <w:rPr>
          <w:rFonts w:cs="Arial"/>
          <w:szCs w:val="20"/>
        </w:rPr>
        <w:t>der</w:t>
      </w:r>
      <w:r w:rsidRPr="00656977">
        <w:rPr>
          <w:rFonts w:cs="Arial"/>
          <w:szCs w:val="20"/>
        </w:rPr>
        <w:t xml:space="preserve"> Forschungsschwerpunkte </w:t>
      </w:r>
      <w:r w:rsidR="00D02F41">
        <w:rPr>
          <w:rFonts w:cs="Arial"/>
          <w:szCs w:val="20"/>
        </w:rPr>
        <w:t>zur</w:t>
      </w:r>
      <w:r>
        <w:rPr>
          <w:rFonts w:cs="Arial"/>
          <w:szCs w:val="20"/>
        </w:rPr>
        <w:t xml:space="preserve"> </w:t>
      </w:r>
      <w:r w:rsidR="00F93DF1">
        <w:rPr>
          <w:rFonts w:cs="Arial"/>
          <w:szCs w:val="20"/>
        </w:rPr>
        <w:t>B</w:t>
      </w:r>
      <w:r w:rsidR="008E12A7">
        <w:rPr>
          <w:rFonts w:cs="Arial"/>
          <w:szCs w:val="20"/>
        </w:rPr>
        <w:t xml:space="preserve">lockchain-Technologie </w:t>
      </w:r>
      <w:r>
        <w:rPr>
          <w:rFonts w:cs="Arial"/>
          <w:szCs w:val="20"/>
        </w:rPr>
        <w:t xml:space="preserve">in der Energiewirtschaft </w:t>
      </w:r>
      <w:r w:rsidRPr="00656977">
        <w:rPr>
          <w:rFonts w:cs="Arial"/>
          <w:szCs w:val="20"/>
        </w:rPr>
        <w:t xml:space="preserve">dargestellt. Es zeigt sich, dass die zentralen Forschungsschwerpunkte </w:t>
      </w:r>
      <w:r w:rsidR="00615A75">
        <w:rPr>
          <w:rFonts w:cs="Arial"/>
          <w:szCs w:val="20"/>
        </w:rPr>
        <w:t xml:space="preserve">die drei Anwendungsbereiche </w:t>
      </w:r>
      <w:r w:rsidRPr="00656977">
        <w:rPr>
          <w:rFonts w:cs="Arial"/>
          <w:szCs w:val="20"/>
        </w:rPr>
        <w:t xml:space="preserve">„P2P-Märkte &amp; -Handel“; „Asset- &amp; Netzmanagement“ sowie „Datenmanagement“ </w:t>
      </w:r>
      <w:r w:rsidR="00615A75">
        <w:rPr>
          <w:rFonts w:cs="Arial"/>
          <w:szCs w:val="20"/>
        </w:rPr>
        <w:t>sind</w:t>
      </w:r>
      <w:r w:rsidRPr="00656977">
        <w:rPr>
          <w:rFonts w:cs="Arial"/>
          <w:szCs w:val="20"/>
        </w:rPr>
        <w:t xml:space="preserve">. Die Forschungsaktivitäten des Anwendungsbereichs „P2P-Märkte und -Handel“ scheinen vergleichsweise weit fortgeschritten zu sein, und lassen auf Grund der </w:t>
      </w:r>
      <w:r w:rsidR="00D02F41">
        <w:rPr>
          <w:rFonts w:cs="Arial"/>
          <w:szCs w:val="20"/>
        </w:rPr>
        <w:t>An</w:t>
      </w:r>
      <w:r w:rsidRPr="00656977">
        <w:rPr>
          <w:rFonts w:cs="Arial"/>
          <w:szCs w:val="20"/>
        </w:rPr>
        <w:t>zahl an Pilotprojekten auf einen hohen Anwendungsbezuges schließen.</w:t>
      </w:r>
    </w:p>
    <w:p w14:paraId="5389C31E" w14:textId="4D5C4ADE" w:rsidR="00DE2849" w:rsidRPr="00656977" w:rsidRDefault="00FC11D3" w:rsidP="00656977">
      <w:pPr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Trotz der zunehmenden Anzahl an Veröffentlichungen zur </w:t>
      </w:r>
      <w:r w:rsidR="008E12A7">
        <w:rPr>
          <w:rFonts w:cs="Arial"/>
          <w:szCs w:val="20"/>
        </w:rPr>
        <w:t xml:space="preserve">Blockchain-Technologie </w:t>
      </w:r>
      <w:r>
        <w:rPr>
          <w:rFonts w:cs="Arial"/>
          <w:szCs w:val="20"/>
        </w:rPr>
        <w:t>kommt der vorliegende Beitrag zur Einschätzung, dass sich d</w:t>
      </w:r>
      <w:r w:rsidR="00DE2849">
        <w:rPr>
          <w:rFonts w:cs="Arial"/>
          <w:szCs w:val="20"/>
        </w:rPr>
        <w:t xml:space="preserve">ie Technologie weiterhin in </w:t>
      </w:r>
      <w:r w:rsidR="00D02F41">
        <w:rPr>
          <w:rFonts w:cs="Arial"/>
          <w:szCs w:val="20"/>
        </w:rPr>
        <w:t xml:space="preserve">einer </w:t>
      </w:r>
      <w:r w:rsidR="00DE2849" w:rsidRPr="007712DE">
        <w:rPr>
          <w:rFonts w:cs="Arial"/>
          <w:szCs w:val="20"/>
        </w:rPr>
        <w:t>frühen experimentellen Phase</w:t>
      </w:r>
      <w:r>
        <w:rPr>
          <w:rFonts w:cs="Arial"/>
          <w:szCs w:val="20"/>
        </w:rPr>
        <w:t xml:space="preserve"> befindet</w:t>
      </w:r>
      <w:r w:rsidR="00DE2849">
        <w:rPr>
          <w:rFonts w:cs="Arial"/>
          <w:szCs w:val="20"/>
        </w:rPr>
        <w:t>. Es existieren zwar ein</w:t>
      </w:r>
      <w:r w:rsidR="00D02F41">
        <w:rPr>
          <w:rFonts w:cs="Arial"/>
          <w:szCs w:val="20"/>
        </w:rPr>
        <w:t>ige</w:t>
      </w:r>
      <w:r w:rsidR="00DE2849">
        <w:rPr>
          <w:rFonts w:cs="Arial"/>
          <w:szCs w:val="20"/>
        </w:rPr>
        <w:t xml:space="preserve"> </w:t>
      </w:r>
      <w:r w:rsidR="00DE2849" w:rsidRPr="007712DE">
        <w:rPr>
          <w:rFonts w:cs="Arial"/>
          <w:szCs w:val="20"/>
        </w:rPr>
        <w:t>Pilotprojekte</w:t>
      </w:r>
      <w:r w:rsidR="00E75CAE">
        <w:rPr>
          <w:rFonts w:cs="Arial"/>
          <w:szCs w:val="20"/>
        </w:rPr>
        <w:t>,</w:t>
      </w:r>
      <w:r w:rsidR="00DE2849">
        <w:rPr>
          <w:rFonts w:cs="Arial"/>
          <w:szCs w:val="20"/>
        </w:rPr>
        <w:t xml:space="preserve"> allerdings noch keine </w:t>
      </w:r>
      <w:r w:rsidR="00DE2849" w:rsidRPr="007712DE">
        <w:rPr>
          <w:rFonts w:cs="Arial"/>
          <w:szCs w:val="20"/>
        </w:rPr>
        <w:t>großskalige</w:t>
      </w:r>
      <w:r w:rsidR="00D02F41">
        <w:rPr>
          <w:rFonts w:cs="Arial"/>
          <w:szCs w:val="20"/>
        </w:rPr>
        <w:t>n</w:t>
      </w:r>
      <w:r w:rsidR="00DE2849">
        <w:rPr>
          <w:rFonts w:cs="Arial"/>
          <w:szCs w:val="20"/>
        </w:rPr>
        <w:t xml:space="preserve"> oder </w:t>
      </w:r>
      <w:r w:rsidR="00DE2849" w:rsidRPr="007712DE">
        <w:rPr>
          <w:rFonts w:cs="Arial"/>
          <w:szCs w:val="20"/>
        </w:rPr>
        <w:t>marktreife</w:t>
      </w:r>
      <w:r w:rsidR="00D02F41">
        <w:rPr>
          <w:rFonts w:cs="Arial"/>
          <w:szCs w:val="20"/>
        </w:rPr>
        <w:t>n</w:t>
      </w:r>
      <w:r w:rsidR="00DE2849" w:rsidRPr="007712DE">
        <w:rPr>
          <w:rFonts w:cs="Arial"/>
          <w:szCs w:val="20"/>
        </w:rPr>
        <w:t xml:space="preserve"> Anwendungen</w:t>
      </w:r>
      <w:r w:rsidR="00DE2849">
        <w:rPr>
          <w:rFonts w:cs="Arial"/>
          <w:szCs w:val="20"/>
        </w:rPr>
        <w:t>, die kommerziell betrieben werden.</w:t>
      </w:r>
      <w:r w:rsidR="00DE2849" w:rsidRPr="007712DE">
        <w:rPr>
          <w:rFonts w:cs="Arial"/>
          <w:szCs w:val="20"/>
        </w:rPr>
        <w:t xml:space="preserve"> </w:t>
      </w:r>
      <w:r w:rsidR="00DE2849">
        <w:rPr>
          <w:rFonts w:cs="Arial"/>
          <w:szCs w:val="20"/>
        </w:rPr>
        <w:t>Ein d</w:t>
      </w:r>
      <w:r w:rsidR="00DE2849" w:rsidRPr="007712DE">
        <w:rPr>
          <w:rFonts w:cs="Arial"/>
          <w:szCs w:val="20"/>
        </w:rPr>
        <w:t>isruptive</w:t>
      </w:r>
      <w:r w:rsidR="004C76E5">
        <w:rPr>
          <w:rFonts w:cs="Arial"/>
          <w:szCs w:val="20"/>
        </w:rPr>
        <w:t>r</w:t>
      </w:r>
      <w:r w:rsidR="00DE2849" w:rsidRPr="007712DE">
        <w:rPr>
          <w:rFonts w:cs="Arial"/>
          <w:szCs w:val="20"/>
        </w:rPr>
        <w:t xml:space="preserve"> Wandel</w:t>
      </w:r>
      <w:r w:rsidR="00DE2849">
        <w:rPr>
          <w:rFonts w:cs="Arial"/>
          <w:szCs w:val="20"/>
        </w:rPr>
        <w:t xml:space="preserve"> der Energiewirtschaft durch die </w:t>
      </w:r>
      <w:r w:rsidR="00DE2849" w:rsidRPr="007712DE">
        <w:rPr>
          <w:rFonts w:cs="Arial"/>
          <w:szCs w:val="20"/>
        </w:rPr>
        <w:t>B</w:t>
      </w:r>
      <w:r w:rsidR="00DE2849">
        <w:rPr>
          <w:rFonts w:cs="Arial"/>
          <w:szCs w:val="20"/>
        </w:rPr>
        <w:t xml:space="preserve">lockchain-Technologien ist aktuell </w:t>
      </w:r>
      <w:r w:rsidR="00684F9D">
        <w:rPr>
          <w:rFonts w:cs="Arial"/>
          <w:szCs w:val="20"/>
        </w:rPr>
        <w:t xml:space="preserve">daher </w:t>
      </w:r>
      <w:r w:rsidR="00DE2849">
        <w:rPr>
          <w:rFonts w:cs="Arial"/>
          <w:szCs w:val="20"/>
        </w:rPr>
        <w:t>nicht absehbar</w:t>
      </w:r>
      <w:r w:rsidR="00EF1899">
        <w:rPr>
          <w:rFonts w:cs="Arial"/>
          <w:szCs w:val="20"/>
        </w:rPr>
        <w:t xml:space="preserve">, </w:t>
      </w:r>
      <w:r w:rsidR="00E64675">
        <w:rPr>
          <w:rFonts w:cs="Arial"/>
          <w:szCs w:val="20"/>
        </w:rPr>
        <w:t xml:space="preserve">auch wenn die </w:t>
      </w:r>
      <w:r w:rsidR="00D02F41">
        <w:rPr>
          <w:rFonts w:cs="Arial"/>
          <w:szCs w:val="20"/>
        </w:rPr>
        <w:t>Anwendungsbereiche</w:t>
      </w:r>
      <w:r w:rsidR="00E64675">
        <w:rPr>
          <w:rFonts w:cs="Arial"/>
          <w:szCs w:val="20"/>
        </w:rPr>
        <w:t xml:space="preserve"> </w:t>
      </w:r>
      <w:r w:rsidR="00EF1899">
        <w:rPr>
          <w:rFonts w:cs="Arial"/>
          <w:szCs w:val="20"/>
        </w:rPr>
        <w:t xml:space="preserve">„Asset- &amp; Netzmanagement“ </w:t>
      </w:r>
      <w:r w:rsidR="00D02F41">
        <w:rPr>
          <w:rFonts w:cs="Arial"/>
          <w:szCs w:val="20"/>
        </w:rPr>
        <w:t>und</w:t>
      </w:r>
      <w:r w:rsidR="00EF1899">
        <w:rPr>
          <w:rFonts w:cs="Arial"/>
          <w:szCs w:val="20"/>
        </w:rPr>
        <w:t xml:space="preserve"> „P2P-Märkten &amp; -Handel“</w:t>
      </w:r>
      <w:r w:rsidR="00E64675">
        <w:rPr>
          <w:rFonts w:cs="Arial"/>
          <w:szCs w:val="20"/>
        </w:rPr>
        <w:t xml:space="preserve"> </w:t>
      </w:r>
      <w:r w:rsidR="00D02F41">
        <w:rPr>
          <w:rFonts w:cs="Arial"/>
          <w:szCs w:val="20"/>
        </w:rPr>
        <w:t xml:space="preserve">im </w:t>
      </w:r>
      <w:r w:rsidR="00615A75">
        <w:rPr>
          <w:rFonts w:cs="Arial"/>
          <w:szCs w:val="20"/>
        </w:rPr>
        <w:t>Feld erprobt</w:t>
      </w:r>
      <w:r w:rsidR="00E64675">
        <w:rPr>
          <w:rFonts w:cs="Arial"/>
          <w:szCs w:val="20"/>
        </w:rPr>
        <w:t xml:space="preserve"> wird</w:t>
      </w:r>
      <w:r w:rsidR="00DE2849">
        <w:rPr>
          <w:rFonts w:cs="Arial"/>
          <w:szCs w:val="20"/>
        </w:rPr>
        <w:t>.</w:t>
      </w:r>
    </w:p>
    <w:p w14:paraId="3C3C8EE7" w14:textId="77777777" w:rsidR="0011510C" w:rsidRDefault="0011510C" w:rsidP="0011510C">
      <w:pPr>
        <w:pStyle w:val="Ueberschrift"/>
      </w:pPr>
      <w:bookmarkStart w:id="1" w:name="_Toc26086066"/>
      <w:bookmarkStart w:id="2" w:name="_Toc68418491"/>
      <w:r w:rsidRPr="0011510C">
        <w:t xml:space="preserve">Keywords: </w:t>
      </w:r>
      <w:r w:rsidRPr="0011510C">
        <w:rPr>
          <w:b w:val="0"/>
          <w:sz w:val="20"/>
        </w:rPr>
        <w:t>Blockchain, Gartner Hype Cycle, Literatur- und Patentdaten, Bibliometrische Analysen</w:t>
      </w:r>
    </w:p>
    <w:p w14:paraId="34701DBB" w14:textId="5307C2D6" w:rsidR="005E4D4F" w:rsidRDefault="005E4D4F" w:rsidP="00A156E4">
      <w:pPr>
        <w:pStyle w:val="Ueberschrift"/>
      </w:pPr>
      <w:r w:rsidRPr="005E4D4F">
        <w:t>Literatur</w:t>
      </w:r>
      <w:bookmarkEnd w:id="1"/>
      <w:bookmarkEnd w:id="2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8500"/>
      </w:tblGrid>
      <w:tr w:rsidR="00092B20" w:rsidRPr="00656977" w14:paraId="17FA1796" w14:textId="77777777" w:rsidTr="00CE5879">
        <w:trPr>
          <w:trHeight w:hRule="exact" w:val="232"/>
        </w:trPr>
        <w:tc>
          <w:tcPr>
            <w:tcW w:w="483" w:type="dxa"/>
          </w:tcPr>
          <w:p w14:paraId="0E0C5215" w14:textId="77777777" w:rsidR="00092B20" w:rsidRPr="00CE5879" w:rsidRDefault="00092B20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[1]</w:t>
            </w:r>
          </w:p>
        </w:tc>
        <w:tc>
          <w:tcPr>
            <w:tcW w:w="8500" w:type="dxa"/>
          </w:tcPr>
          <w:p w14:paraId="09B5A14F" w14:textId="5CF48B65" w:rsidR="00092B20" w:rsidRPr="00CE5879" w:rsidRDefault="00092B20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DESTATIS</w:t>
            </w:r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(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2021</w:t>
            </w:r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</w:rPr>
              <w:t>):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Bruttoinlandsprodukt </w:t>
            </w:r>
            <w:r w:rsidR="00656977" w:rsidRPr="00CE5879">
              <w:rPr>
                <w:rFonts w:cs="Arial"/>
                <w:b w:val="0"/>
                <w:spacing w:val="0"/>
                <w:sz w:val="18"/>
                <w:szCs w:val="19"/>
              </w:rPr>
              <w:t>f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ür Deutschland 2020. Statistisches Bundesamt. Wiesbaden.</w:t>
            </w:r>
          </w:p>
        </w:tc>
      </w:tr>
      <w:tr w:rsidR="00092B20" w:rsidRPr="00656977" w14:paraId="7C0A23E2" w14:textId="77777777" w:rsidTr="00656977">
        <w:trPr>
          <w:trHeight w:hRule="exact" w:val="454"/>
        </w:trPr>
        <w:tc>
          <w:tcPr>
            <w:tcW w:w="483" w:type="dxa"/>
          </w:tcPr>
          <w:p w14:paraId="70679EB2" w14:textId="77777777" w:rsidR="00092B20" w:rsidRPr="00CE5879" w:rsidRDefault="00092B20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[2]</w:t>
            </w:r>
          </w:p>
        </w:tc>
        <w:tc>
          <w:tcPr>
            <w:tcW w:w="8500" w:type="dxa"/>
          </w:tcPr>
          <w:p w14:paraId="523FFE43" w14:textId="3811D9D9" w:rsidR="00092B20" w:rsidRPr="00CE5879" w:rsidRDefault="0018094F" w:rsidP="007D0BB8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Smard</w:t>
            </w:r>
            <w:proofErr w:type="spellEnd"/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(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2021</w:t>
            </w:r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): 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SMARD - Strommarktdaten für Deutschland.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Hg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. v. Bundesnetzagentur für Elektrizität, Gas, Telekommunikation, Post und Eisenbahnen (BNetzA)</w:t>
            </w:r>
            <w:r w:rsidR="00656977" w:rsidRPr="00CE5879">
              <w:rPr>
                <w:rFonts w:cs="Arial"/>
                <w:b w:val="0"/>
                <w:spacing w:val="0"/>
                <w:sz w:val="18"/>
                <w:szCs w:val="19"/>
              </w:rPr>
              <w:t>, Bonn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.</w:t>
            </w:r>
          </w:p>
        </w:tc>
      </w:tr>
      <w:tr w:rsidR="00092B20" w:rsidRPr="00615A75" w14:paraId="0A396D36" w14:textId="77777777" w:rsidTr="00656977">
        <w:trPr>
          <w:trHeight w:hRule="exact" w:val="454"/>
        </w:trPr>
        <w:tc>
          <w:tcPr>
            <w:tcW w:w="483" w:type="dxa"/>
          </w:tcPr>
          <w:p w14:paraId="2C0F833F" w14:textId="77777777" w:rsidR="00092B20" w:rsidRPr="00CE5879" w:rsidRDefault="00092B20" w:rsidP="0018094F">
            <w:pPr>
              <w:pStyle w:val="Ueberschrift"/>
              <w:spacing w:before="0" w:after="0"/>
              <w:rPr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[3]</w:t>
            </w:r>
          </w:p>
        </w:tc>
        <w:tc>
          <w:tcPr>
            <w:tcW w:w="8500" w:type="dxa"/>
          </w:tcPr>
          <w:p w14:paraId="6A2AE253" w14:textId="4E0A3BE0" w:rsidR="00092B20" w:rsidRPr="00CE5879" w:rsidRDefault="00092B20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</w:pP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Archibugi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, D.,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Filippetti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,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A.und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Frenz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, M. </w:t>
            </w:r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(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2013</w:t>
            </w:r>
            <w:r w:rsidR="00615A75"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):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 The impact of the economic crisis on innovation: Evidence from Europe. In: Technological Forecasting and Social Change 80 (7), S. 1247–1260.</w:t>
            </w:r>
          </w:p>
        </w:tc>
      </w:tr>
      <w:tr w:rsidR="00092B20" w:rsidRPr="00656977" w14:paraId="476F2880" w14:textId="77777777" w:rsidTr="00CE5879">
        <w:trPr>
          <w:trHeight w:hRule="exact" w:val="660"/>
        </w:trPr>
        <w:tc>
          <w:tcPr>
            <w:tcW w:w="483" w:type="dxa"/>
          </w:tcPr>
          <w:p w14:paraId="581F6909" w14:textId="77777777" w:rsidR="00092B20" w:rsidRPr="00CE5879" w:rsidRDefault="00092B20" w:rsidP="0018094F">
            <w:pPr>
              <w:pStyle w:val="Ueberschrift"/>
              <w:spacing w:before="0" w:after="0"/>
              <w:rPr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[4]</w:t>
            </w:r>
          </w:p>
        </w:tc>
        <w:tc>
          <w:tcPr>
            <w:tcW w:w="8500" w:type="dxa"/>
          </w:tcPr>
          <w:p w14:paraId="480D75DB" w14:textId="2B766666" w:rsidR="00092B20" w:rsidRPr="00CE5879" w:rsidRDefault="0018094F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Andoni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, M.;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Robu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, V.; Flynn, D.; Abram, S.;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Geach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, D.; Jenkins, McCallum, P</w:t>
            </w:r>
            <w:r w:rsidR="008F533A"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.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; Peacock, A</w:t>
            </w:r>
            <w:r w:rsidR="008F533A"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>.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  <w:lang w:val="en-US"/>
              </w:rPr>
              <w:t xml:space="preserve"> (2019): Blockchain technology in the energy sector: A systematic review of challenges and opportunities. 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In: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Renewable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and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Sustainable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Energy Reviews 100, S. 143–174.</w:t>
            </w:r>
          </w:p>
        </w:tc>
      </w:tr>
      <w:tr w:rsidR="00092B20" w:rsidRPr="00656977" w14:paraId="4A9A7F0C" w14:textId="77777777" w:rsidTr="00656977">
        <w:trPr>
          <w:trHeight w:hRule="exact" w:val="454"/>
        </w:trPr>
        <w:tc>
          <w:tcPr>
            <w:tcW w:w="483" w:type="dxa"/>
          </w:tcPr>
          <w:p w14:paraId="0E719D74" w14:textId="23D60ECE" w:rsidR="00092B20" w:rsidRPr="00CE5879" w:rsidRDefault="0018094F" w:rsidP="0018094F">
            <w:pPr>
              <w:pStyle w:val="Ueberschrift"/>
              <w:spacing w:before="0" w:after="0"/>
              <w:rPr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[5]</w:t>
            </w:r>
          </w:p>
        </w:tc>
        <w:tc>
          <w:tcPr>
            <w:tcW w:w="8500" w:type="dxa"/>
          </w:tcPr>
          <w:p w14:paraId="37B234A5" w14:textId="75F19D01" w:rsidR="00092B20" w:rsidRPr="00CE5879" w:rsidRDefault="0018094F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Corusa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, A.;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Predel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, J.; Schöne, N. (2020): Eine Marktübersicht der Blockchain in der Energiewirtschaft.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Hg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. v. Technische Universität Berlin. Berlin.</w:t>
            </w:r>
          </w:p>
        </w:tc>
      </w:tr>
      <w:tr w:rsidR="0018094F" w:rsidRPr="00656977" w14:paraId="5288362D" w14:textId="77777777" w:rsidTr="00656977">
        <w:trPr>
          <w:trHeight w:hRule="exact" w:val="284"/>
        </w:trPr>
        <w:tc>
          <w:tcPr>
            <w:tcW w:w="483" w:type="dxa"/>
          </w:tcPr>
          <w:p w14:paraId="2408D8C9" w14:textId="77777777" w:rsidR="0018094F" w:rsidRPr="00CE5879" w:rsidRDefault="0018094F" w:rsidP="0018094F">
            <w:pPr>
              <w:pStyle w:val="Ueberschrift"/>
              <w:spacing w:before="0" w:after="0"/>
              <w:rPr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[6]</w:t>
            </w:r>
          </w:p>
        </w:tc>
        <w:tc>
          <w:tcPr>
            <w:tcW w:w="8500" w:type="dxa"/>
          </w:tcPr>
          <w:p w14:paraId="0271604E" w14:textId="0F61C540" w:rsidR="0018094F" w:rsidRPr="00CE5879" w:rsidRDefault="0018094F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Blosch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, M</w:t>
            </w:r>
            <w:r w:rsidR="008F533A" w:rsidRPr="00CE5879">
              <w:rPr>
                <w:rFonts w:cs="Arial"/>
                <w:b w:val="0"/>
                <w:spacing w:val="0"/>
                <w:sz w:val="18"/>
                <w:szCs w:val="19"/>
              </w:rPr>
              <w:t>.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; Fenn, J</w:t>
            </w:r>
            <w:r w:rsidR="008F533A" w:rsidRPr="00CE5879">
              <w:rPr>
                <w:rFonts w:cs="Arial"/>
                <w:b w:val="0"/>
                <w:spacing w:val="0"/>
                <w:sz w:val="18"/>
                <w:szCs w:val="19"/>
              </w:rPr>
              <w:t>.</w:t>
            </w: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(2018): Understanding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Gartner’s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Hype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Cycles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.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Hg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. v. Gartner Inc. Stamford.</w:t>
            </w:r>
          </w:p>
        </w:tc>
      </w:tr>
      <w:tr w:rsidR="0018094F" w:rsidRPr="00656977" w14:paraId="3772820F" w14:textId="77777777" w:rsidTr="00656977">
        <w:trPr>
          <w:trHeight w:hRule="exact" w:val="851"/>
        </w:trPr>
        <w:tc>
          <w:tcPr>
            <w:tcW w:w="483" w:type="dxa"/>
          </w:tcPr>
          <w:p w14:paraId="4E932BC6" w14:textId="77777777" w:rsidR="0018094F" w:rsidRPr="00CE5879" w:rsidRDefault="0018094F" w:rsidP="0018094F">
            <w:pPr>
              <w:pStyle w:val="Ueberschrift"/>
              <w:spacing w:before="0" w:after="0"/>
              <w:rPr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[7]</w:t>
            </w:r>
          </w:p>
        </w:tc>
        <w:tc>
          <w:tcPr>
            <w:tcW w:w="8500" w:type="dxa"/>
          </w:tcPr>
          <w:p w14:paraId="7F032A16" w14:textId="79B4CFD6" w:rsidR="0018094F" w:rsidRPr="00CE5879" w:rsidRDefault="003A4B53" w:rsidP="0018094F">
            <w:pPr>
              <w:pStyle w:val="Ueberschrift"/>
              <w:spacing w:before="0" w:after="0"/>
              <w:rPr>
                <w:rFonts w:cs="Arial"/>
                <w:b w:val="0"/>
                <w:spacing w:val="0"/>
                <w:sz w:val="18"/>
                <w:szCs w:val="19"/>
              </w:rPr>
            </w:pPr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Gartner Inc. (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Hg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.) (2019): Hype Cycle </w:t>
            </w:r>
            <w:proofErr w:type="spellStart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>for</w:t>
            </w:r>
            <w:proofErr w:type="spellEnd"/>
            <w:r w:rsidRPr="00CE5879">
              <w:rPr>
                <w:rFonts w:cs="Arial"/>
                <w:b w:val="0"/>
                <w:spacing w:val="0"/>
                <w:sz w:val="18"/>
                <w:szCs w:val="19"/>
              </w:rPr>
              <w:t xml:space="preserve"> Blockchain Technologies, 2019. Online verfügbar unter https://www.gartner.com/en/newsroom/press-releases/2019-10-08-gartner-2019-hype-cycle-shows-most-blockchain-technologies-are-still-five-to-10-years-away-from-transformational-impact, zuletzt geprüft am 05.05.2021.</w:t>
            </w:r>
          </w:p>
        </w:tc>
      </w:tr>
    </w:tbl>
    <w:p w14:paraId="6BCCF023" w14:textId="3025640E" w:rsidR="00EC1CEF" w:rsidRPr="00931EE2" w:rsidRDefault="00EC1CEF" w:rsidP="00931EE2">
      <w:pPr>
        <w:pStyle w:val="Ueberschrift"/>
        <w:rPr>
          <w:sz w:val="2"/>
        </w:rPr>
      </w:pPr>
    </w:p>
    <w:sectPr w:rsidR="00EC1CEF" w:rsidRPr="00931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E850" w14:textId="77777777" w:rsidR="00662525" w:rsidRDefault="00662525">
      <w:r>
        <w:separator/>
      </w:r>
    </w:p>
  </w:endnote>
  <w:endnote w:type="continuationSeparator" w:id="0">
    <w:p w14:paraId="70AE8F86" w14:textId="77777777" w:rsidR="00662525" w:rsidRDefault="006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CDFD8" w14:textId="77777777" w:rsidR="00662525" w:rsidRDefault="00662525">
      <w:r>
        <w:separator/>
      </w:r>
    </w:p>
  </w:footnote>
  <w:footnote w:type="continuationSeparator" w:id="0">
    <w:p w14:paraId="04408F9E" w14:textId="77777777" w:rsidR="00662525" w:rsidRDefault="00662525">
      <w:r>
        <w:continuationSeparator/>
      </w:r>
    </w:p>
  </w:footnote>
  <w:footnote w:id="1">
    <w:p w14:paraId="5AB65A63" w14:textId="03418A64" w:rsidR="00B47D01" w:rsidRPr="001956B7" w:rsidRDefault="00B47D01" w:rsidP="00B47D01">
      <w:pPr>
        <w:pStyle w:val="Funotentext"/>
        <w:rPr>
          <w:sz w:val="16"/>
          <w:szCs w:val="16"/>
        </w:rPr>
      </w:pPr>
      <w:r w:rsidRPr="001956B7">
        <w:rPr>
          <w:rStyle w:val="Funotenzeichen"/>
          <w:sz w:val="16"/>
          <w:szCs w:val="16"/>
        </w:rPr>
        <w:footnoteRef/>
      </w:r>
      <w:r w:rsidRPr="001956B7">
        <w:rPr>
          <w:sz w:val="16"/>
          <w:szCs w:val="16"/>
        </w:rPr>
        <w:t xml:space="preserve"> +49 (0) 711 685</w:t>
      </w:r>
      <w:r w:rsidR="001956B7">
        <w:rPr>
          <w:sz w:val="16"/>
          <w:szCs w:val="16"/>
        </w:rPr>
        <w:t>-</w:t>
      </w:r>
      <w:r w:rsidRPr="001956B7">
        <w:rPr>
          <w:sz w:val="16"/>
          <w:szCs w:val="16"/>
        </w:rPr>
        <w:t>60901, pascal.haebig@ier.uni-stuttgart.de</w:t>
      </w:r>
    </w:p>
  </w:footnote>
  <w:footnote w:id="2">
    <w:p w14:paraId="6DE36381" w14:textId="1F19CAC9" w:rsidR="00DE2849" w:rsidRPr="001956B7" w:rsidRDefault="00DE2849" w:rsidP="00DE2849">
      <w:pPr>
        <w:rPr>
          <w:sz w:val="16"/>
          <w:szCs w:val="16"/>
        </w:rPr>
      </w:pPr>
      <w:r w:rsidRPr="001956B7">
        <w:rPr>
          <w:rStyle w:val="Funotenzeichen"/>
          <w:sz w:val="16"/>
          <w:szCs w:val="16"/>
        </w:rPr>
        <w:footnoteRef/>
      </w:r>
      <w:r w:rsidRPr="001956B7">
        <w:rPr>
          <w:sz w:val="16"/>
          <w:szCs w:val="16"/>
        </w:rPr>
        <w:t xml:space="preserve"> </w:t>
      </w:r>
      <w:r w:rsidR="001956B7" w:rsidRPr="001956B7">
        <w:rPr>
          <w:sz w:val="16"/>
          <w:szCs w:val="16"/>
        </w:rPr>
        <w:t>+49 (0) 711 685</w:t>
      </w:r>
      <w:r w:rsidR="001956B7">
        <w:rPr>
          <w:sz w:val="16"/>
          <w:szCs w:val="16"/>
        </w:rPr>
        <w:t>-</w:t>
      </w:r>
      <w:r w:rsidR="001956B7" w:rsidRPr="001956B7">
        <w:rPr>
          <w:sz w:val="16"/>
          <w:szCs w:val="16"/>
        </w:rPr>
        <w:t xml:space="preserve">87825, </w:t>
      </w:r>
      <w:r w:rsidR="00B47D01" w:rsidRPr="001956B7">
        <w:rPr>
          <w:sz w:val="16"/>
          <w:szCs w:val="16"/>
        </w:rPr>
        <w:t>maximilian.schulz@ier.uni-stuttgart.de</w:t>
      </w:r>
    </w:p>
  </w:footnote>
  <w:footnote w:id="3">
    <w:p w14:paraId="43DEA5EF" w14:textId="405ACF1D" w:rsidR="001956B7" w:rsidRDefault="001956B7" w:rsidP="001956B7">
      <w:pPr>
        <w:pStyle w:val="Funotentext"/>
      </w:pPr>
      <w:r w:rsidRPr="001956B7">
        <w:rPr>
          <w:rStyle w:val="Funotenzeichen"/>
          <w:sz w:val="16"/>
          <w:szCs w:val="16"/>
        </w:rPr>
        <w:footnoteRef/>
      </w:r>
      <w:r w:rsidRPr="001956B7">
        <w:rPr>
          <w:sz w:val="16"/>
          <w:szCs w:val="16"/>
        </w:rPr>
        <w:t xml:space="preserve"> +49 </w:t>
      </w:r>
      <w:r>
        <w:rPr>
          <w:sz w:val="16"/>
          <w:szCs w:val="16"/>
        </w:rPr>
        <w:t xml:space="preserve">(0) </w:t>
      </w:r>
      <w:r w:rsidRPr="001956B7">
        <w:rPr>
          <w:sz w:val="16"/>
          <w:szCs w:val="16"/>
        </w:rPr>
        <w:t>711 685</w:t>
      </w:r>
      <w:r>
        <w:rPr>
          <w:sz w:val="16"/>
          <w:szCs w:val="16"/>
        </w:rPr>
        <w:t>-</w:t>
      </w:r>
      <w:r w:rsidRPr="001956B7">
        <w:rPr>
          <w:sz w:val="16"/>
          <w:szCs w:val="16"/>
        </w:rPr>
        <w:t>87801, kai.hufendiek@ier.uni-stuttgart.de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53381"/>
    <w:multiLevelType w:val="hybridMultilevel"/>
    <w:tmpl w:val="A35CA3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A08"/>
    <w:multiLevelType w:val="hybridMultilevel"/>
    <w:tmpl w:val="8514D4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01BB3"/>
    <w:rsid w:val="000051A4"/>
    <w:rsid w:val="000108E2"/>
    <w:rsid w:val="00010E92"/>
    <w:rsid w:val="000145F1"/>
    <w:rsid w:val="00020553"/>
    <w:rsid w:val="00022A1C"/>
    <w:rsid w:val="00024D7F"/>
    <w:rsid w:val="00026EDA"/>
    <w:rsid w:val="00030333"/>
    <w:rsid w:val="00044FEF"/>
    <w:rsid w:val="0005195A"/>
    <w:rsid w:val="00053C37"/>
    <w:rsid w:val="00055BC9"/>
    <w:rsid w:val="000565D3"/>
    <w:rsid w:val="00060A31"/>
    <w:rsid w:val="000629E4"/>
    <w:rsid w:val="00063502"/>
    <w:rsid w:val="00063CDC"/>
    <w:rsid w:val="00071B0F"/>
    <w:rsid w:val="00073E76"/>
    <w:rsid w:val="0008021A"/>
    <w:rsid w:val="00082E78"/>
    <w:rsid w:val="00092B20"/>
    <w:rsid w:val="000B6B33"/>
    <w:rsid w:val="000C5245"/>
    <w:rsid w:val="000C5545"/>
    <w:rsid w:val="000D0D2A"/>
    <w:rsid w:val="000D2EA7"/>
    <w:rsid w:val="000D598D"/>
    <w:rsid w:val="000D6703"/>
    <w:rsid w:val="000E0F7E"/>
    <w:rsid w:val="000E29AE"/>
    <w:rsid w:val="000E3957"/>
    <w:rsid w:val="000E3CDB"/>
    <w:rsid w:val="000E66D2"/>
    <w:rsid w:val="000F281B"/>
    <w:rsid w:val="000F495A"/>
    <w:rsid w:val="000F66FF"/>
    <w:rsid w:val="00104CE8"/>
    <w:rsid w:val="00104F76"/>
    <w:rsid w:val="001064EA"/>
    <w:rsid w:val="00107008"/>
    <w:rsid w:val="001105BF"/>
    <w:rsid w:val="00114C5F"/>
    <w:rsid w:val="0011510C"/>
    <w:rsid w:val="001155BE"/>
    <w:rsid w:val="00115677"/>
    <w:rsid w:val="0011623A"/>
    <w:rsid w:val="00116EE2"/>
    <w:rsid w:val="00117943"/>
    <w:rsid w:val="00122BAA"/>
    <w:rsid w:val="0013311A"/>
    <w:rsid w:val="00140E62"/>
    <w:rsid w:val="00157964"/>
    <w:rsid w:val="001628AC"/>
    <w:rsid w:val="0016405B"/>
    <w:rsid w:val="00171804"/>
    <w:rsid w:val="001729EE"/>
    <w:rsid w:val="00174B43"/>
    <w:rsid w:val="0017680C"/>
    <w:rsid w:val="0018094F"/>
    <w:rsid w:val="001915E8"/>
    <w:rsid w:val="0019430E"/>
    <w:rsid w:val="001956B7"/>
    <w:rsid w:val="001A2726"/>
    <w:rsid w:val="001A2B04"/>
    <w:rsid w:val="001A3A6B"/>
    <w:rsid w:val="001A414A"/>
    <w:rsid w:val="001A5966"/>
    <w:rsid w:val="001B668F"/>
    <w:rsid w:val="001C37DD"/>
    <w:rsid w:val="001C4165"/>
    <w:rsid w:val="001C6351"/>
    <w:rsid w:val="001D41AA"/>
    <w:rsid w:val="001D4E15"/>
    <w:rsid w:val="002014D3"/>
    <w:rsid w:val="0020381F"/>
    <w:rsid w:val="002040FB"/>
    <w:rsid w:val="00210F23"/>
    <w:rsid w:val="00211265"/>
    <w:rsid w:val="00213CCE"/>
    <w:rsid w:val="002146C1"/>
    <w:rsid w:val="002171D3"/>
    <w:rsid w:val="002177E9"/>
    <w:rsid w:val="00217BA2"/>
    <w:rsid w:val="00220F68"/>
    <w:rsid w:val="002210D5"/>
    <w:rsid w:val="0022551E"/>
    <w:rsid w:val="0022668D"/>
    <w:rsid w:val="00227125"/>
    <w:rsid w:val="002359C7"/>
    <w:rsid w:val="00240884"/>
    <w:rsid w:val="00244693"/>
    <w:rsid w:val="002517DD"/>
    <w:rsid w:val="00253418"/>
    <w:rsid w:val="002615AC"/>
    <w:rsid w:val="00262656"/>
    <w:rsid w:val="00262FD5"/>
    <w:rsid w:val="00263814"/>
    <w:rsid w:val="002721F5"/>
    <w:rsid w:val="002743F6"/>
    <w:rsid w:val="0027653C"/>
    <w:rsid w:val="00282600"/>
    <w:rsid w:val="00282A43"/>
    <w:rsid w:val="00283AEA"/>
    <w:rsid w:val="0029075F"/>
    <w:rsid w:val="002946B8"/>
    <w:rsid w:val="002A16A1"/>
    <w:rsid w:val="002A4708"/>
    <w:rsid w:val="002C07D9"/>
    <w:rsid w:val="002C24DD"/>
    <w:rsid w:val="002C2704"/>
    <w:rsid w:val="002C5ABE"/>
    <w:rsid w:val="002C67D1"/>
    <w:rsid w:val="002C6ACE"/>
    <w:rsid w:val="002D35D3"/>
    <w:rsid w:val="002D610E"/>
    <w:rsid w:val="002D7710"/>
    <w:rsid w:val="002E506F"/>
    <w:rsid w:val="002F0D31"/>
    <w:rsid w:val="002F5B5D"/>
    <w:rsid w:val="00302AE2"/>
    <w:rsid w:val="00303881"/>
    <w:rsid w:val="00314E53"/>
    <w:rsid w:val="00322240"/>
    <w:rsid w:val="00322797"/>
    <w:rsid w:val="003326BB"/>
    <w:rsid w:val="0034204B"/>
    <w:rsid w:val="00343A61"/>
    <w:rsid w:val="00350F98"/>
    <w:rsid w:val="00353F62"/>
    <w:rsid w:val="003558CA"/>
    <w:rsid w:val="00355C08"/>
    <w:rsid w:val="00357DF0"/>
    <w:rsid w:val="003601F9"/>
    <w:rsid w:val="00365542"/>
    <w:rsid w:val="00371C6F"/>
    <w:rsid w:val="00372E07"/>
    <w:rsid w:val="0037397D"/>
    <w:rsid w:val="00376276"/>
    <w:rsid w:val="00380914"/>
    <w:rsid w:val="00384AFF"/>
    <w:rsid w:val="00391CE6"/>
    <w:rsid w:val="003A4B53"/>
    <w:rsid w:val="003A5976"/>
    <w:rsid w:val="003A73D7"/>
    <w:rsid w:val="003B0B75"/>
    <w:rsid w:val="003B4E5D"/>
    <w:rsid w:val="003B676F"/>
    <w:rsid w:val="003C0D33"/>
    <w:rsid w:val="003C28FE"/>
    <w:rsid w:val="003D3138"/>
    <w:rsid w:val="003D54A2"/>
    <w:rsid w:val="003D5D96"/>
    <w:rsid w:val="003E0CFB"/>
    <w:rsid w:val="003E400B"/>
    <w:rsid w:val="003E4690"/>
    <w:rsid w:val="003E724B"/>
    <w:rsid w:val="003F0156"/>
    <w:rsid w:val="003F07C7"/>
    <w:rsid w:val="003F27F4"/>
    <w:rsid w:val="00404EC2"/>
    <w:rsid w:val="00405973"/>
    <w:rsid w:val="00413B9C"/>
    <w:rsid w:val="00414136"/>
    <w:rsid w:val="00426BB0"/>
    <w:rsid w:val="00427954"/>
    <w:rsid w:val="00427BE2"/>
    <w:rsid w:val="004305E9"/>
    <w:rsid w:val="00431998"/>
    <w:rsid w:val="004353C6"/>
    <w:rsid w:val="00436A14"/>
    <w:rsid w:val="0045263F"/>
    <w:rsid w:val="0045529E"/>
    <w:rsid w:val="004554FF"/>
    <w:rsid w:val="00461875"/>
    <w:rsid w:val="00462B8D"/>
    <w:rsid w:val="004642EA"/>
    <w:rsid w:val="0047461E"/>
    <w:rsid w:val="00483B87"/>
    <w:rsid w:val="004869DD"/>
    <w:rsid w:val="00490BC1"/>
    <w:rsid w:val="004A3272"/>
    <w:rsid w:val="004A7030"/>
    <w:rsid w:val="004B07B6"/>
    <w:rsid w:val="004B0CD6"/>
    <w:rsid w:val="004B22B6"/>
    <w:rsid w:val="004B281B"/>
    <w:rsid w:val="004B67CA"/>
    <w:rsid w:val="004C01B4"/>
    <w:rsid w:val="004C0302"/>
    <w:rsid w:val="004C058D"/>
    <w:rsid w:val="004C76E5"/>
    <w:rsid w:val="004D10B5"/>
    <w:rsid w:val="004D3C61"/>
    <w:rsid w:val="004D4E98"/>
    <w:rsid w:val="004D7554"/>
    <w:rsid w:val="004E1FE8"/>
    <w:rsid w:val="004F01F1"/>
    <w:rsid w:val="004F54BE"/>
    <w:rsid w:val="004F7CD5"/>
    <w:rsid w:val="0050700B"/>
    <w:rsid w:val="005125B5"/>
    <w:rsid w:val="00515C3C"/>
    <w:rsid w:val="0052372B"/>
    <w:rsid w:val="0053262E"/>
    <w:rsid w:val="005337B3"/>
    <w:rsid w:val="00535DD2"/>
    <w:rsid w:val="005366BC"/>
    <w:rsid w:val="0054280C"/>
    <w:rsid w:val="0054290A"/>
    <w:rsid w:val="005505A8"/>
    <w:rsid w:val="00553547"/>
    <w:rsid w:val="00554EB7"/>
    <w:rsid w:val="00561452"/>
    <w:rsid w:val="0056173D"/>
    <w:rsid w:val="00565B5B"/>
    <w:rsid w:val="00567EDD"/>
    <w:rsid w:val="00570376"/>
    <w:rsid w:val="005773AB"/>
    <w:rsid w:val="005807D6"/>
    <w:rsid w:val="005B1ADB"/>
    <w:rsid w:val="005B2F61"/>
    <w:rsid w:val="005B4FF8"/>
    <w:rsid w:val="005B5DF8"/>
    <w:rsid w:val="005D2B4E"/>
    <w:rsid w:val="005D7971"/>
    <w:rsid w:val="005D7A3C"/>
    <w:rsid w:val="005D7B69"/>
    <w:rsid w:val="005E4D4F"/>
    <w:rsid w:val="00602876"/>
    <w:rsid w:val="0060657A"/>
    <w:rsid w:val="00606AE3"/>
    <w:rsid w:val="006074A2"/>
    <w:rsid w:val="00615A75"/>
    <w:rsid w:val="006163E9"/>
    <w:rsid w:val="0061674A"/>
    <w:rsid w:val="00617CEC"/>
    <w:rsid w:val="00622B71"/>
    <w:rsid w:val="0063407E"/>
    <w:rsid w:val="00637651"/>
    <w:rsid w:val="0064228A"/>
    <w:rsid w:val="00646086"/>
    <w:rsid w:val="0065039A"/>
    <w:rsid w:val="00651078"/>
    <w:rsid w:val="00656977"/>
    <w:rsid w:val="006620DE"/>
    <w:rsid w:val="00662469"/>
    <w:rsid w:val="00662525"/>
    <w:rsid w:val="00663C27"/>
    <w:rsid w:val="006657B6"/>
    <w:rsid w:val="006715F1"/>
    <w:rsid w:val="006758FF"/>
    <w:rsid w:val="00684F9D"/>
    <w:rsid w:val="00687D1F"/>
    <w:rsid w:val="0069251C"/>
    <w:rsid w:val="006A07FB"/>
    <w:rsid w:val="006A203B"/>
    <w:rsid w:val="006B56E5"/>
    <w:rsid w:val="006B5745"/>
    <w:rsid w:val="006C17BF"/>
    <w:rsid w:val="006C1B75"/>
    <w:rsid w:val="006C24BD"/>
    <w:rsid w:val="006C52B8"/>
    <w:rsid w:val="006D5E22"/>
    <w:rsid w:val="006E4476"/>
    <w:rsid w:val="006E7C1A"/>
    <w:rsid w:val="006F3046"/>
    <w:rsid w:val="006F3253"/>
    <w:rsid w:val="006F538F"/>
    <w:rsid w:val="006F550F"/>
    <w:rsid w:val="006F5D49"/>
    <w:rsid w:val="007024E8"/>
    <w:rsid w:val="00702C36"/>
    <w:rsid w:val="00707FB2"/>
    <w:rsid w:val="00710EF9"/>
    <w:rsid w:val="007200F0"/>
    <w:rsid w:val="00720D8D"/>
    <w:rsid w:val="00722F8F"/>
    <w:rsid w:val="007271FD"/>
    <w:rsid w:val="00735758"/>
    <w:rsid w:val="007378C8"/>
    <w:rsid w:val="00740251"/>
    <w:rsid w:val="00740A97"/>
    <w:rsid w:val="00741EC0"/>
    <w:rsid w:val="007534E3"/>
    <w:rsid w:val="00755302"/>
    <w:rsid w:val="00755814"/>
    <w:rsid w:val="00767082"/>
    <w:rsid w:val="0076730C"/>
    <w:rsid w:val="00775729"/>
    <w:rsid w:val="00791A98"/>
    <w:rsid w:val="0079524F"/>
    <w:rsid w:val="007971C5"/>
    <w:rsid w:val="007A50B1"/>
    <w:rsid w:val="007B4618"/>
    <w:rsid w:val="007B7081"/>
    <w:rsid w:val="007C1D4B"/>
    <w:rsid w:val="007C2024"/>
    <w:rsid w:val="007C3AC0"/>
    <w:rsid w:val="007C4372"/>
    <w:rsid w:val="007D0BB8"/>
    <w:rsid w:val="007D50C3"/>
    <w:rsid w:val="007D5D7F"/>
    <w:rsid w:val="007E3258"/>
    <w:rsid w:val="007E40AF"/>
    <w:rsid w:val="00801A02"/>
    <w:rsid w:val="008032A7"/>
    <w:rsid w:val="00803917"/>
    <w:rsid w:val="0081155F"/>
    <w:rsid w:val="00816FFA"/>
    <w:rsid w:val="008210FE"/>
    <w:rsid w:val="00823E87"/>
    <w:rsid w:val="008311FA"/>
    <w:rsid w:val="008315C8"/>
    <w:rsid w:val="0083217F"/>
    <w:rsid w:val="00833300"/>
    <w:rsid w:val="008533BC"/>
    <w:rsid w:val="00870CA5"/>
    <w:rsid w:val="00870D7E"/>
    <w:rsid w:val="00887AC7"/>
    <w:rsid w:val="00887CE6"/>
    <w:rsid w:val="008B2279"/>
    <w:rsid w:val="008C054E"/>
    <w:rsid w:val="008D1B03"/>
    <w:rsid w:val="008D331B"/>
    <w:rsid w:val="008D7456"/>
    <w:rsid w:val="008E07B4"/>
    <w:rsid w:val="008E09E8"/>
    <w:rsid w:val="008E12A7"/>
    <w:rsid w:val="008F04EA"/>
    <w:rsid w:val="008F0CED"/>
    <w:rsid w:val="008F4D32"/>
    <w:rsid w:val="008F533A"/>
    <w:rsid w:val="008F7517"/>
    <w:rsid w:val="00900890"/>
    <w:rsid w:val="009075AC"/>
    <w:rsid w:val="009104CE"/>
    <w:rsid w:val="00925C05"/>
    <w:rsid w:val="00927272"/>
    <w:rsid w:val="00931EE2"/>
    <w:rsid w:val="00934BDC"/>
    <w:rsid w:val="009445DF"/>
    <w:rsid w:val="009506BC"/>
    <w:rsid w:val="009549B3"/>
    <w:rsid w:val="00956611"/>
    <w:rsid w:val="00961BBC"/>
    <w:rsid w:val="009648E0"/>
    <w:rsid w:val="00976F7F"/>
    <w:rsid w:val="00992938"/>
    <w:rsid w:val="00992993"/>
    <w:rsid w:val="009A620A"/>
    <w:rsid w:val="009A6DB5"/>
    <w:rsid w:val="009B069A"/>
    <w:rsid w:val="009B1552"/>
    <w:rsid w:val="009B18C3"/>
    <w:rsid w:val="009C0917"/>
    <w:rsid w:val="009C4E32"/>
    <w:rsid w:val="009C7871"/>
    <w:rsid w:val="009D7023"/>
    <w:rsid w:val="009E346C"/>
    <w:rsid w:val="009E413E"/>
    <w:rsid w:val="009E5607"/>
    <w:rsid w:val="009E5A67"/>
    <w:rsid w:val="009E6370"/>
    <w:rsid w:val="009F150A"/>
    <w:rsid w:val="00A001D1"/>
    <w:rsid w:val="00A038BA"/>
    <w:rsid w:val="00A03D74"/>
    <w:rsid w:val="00A04FFE"/>
    <w:rsid w:val="00A06B18"/>
    <w:rsid w:val="00A07737"/>
    <w:rsid w:val="00A12128"/>
    <w:rsid w:val="00A14522"/>
    <w:rsid w:val="00A156E4"/>
    <w:rsid w:val="00A445E3"/>
    <w:rsid w:val="00A520D5"/>
    <w:rsid w:val="00A56922"/>
    <w:rsid w:val="00A60D27"/>
    <w:rsid w:val="00A6148D"/>
    <w:rsid w:val="00A67ACC"/>
    <w:rsid w:val="00A71581"/>
    <w:rsid w:val="00A84C42"/>
    <w:rsid w:val="00A866CC"/>
    <w:rsid w:val="00A92DE8"/>
    <w:rsid w:val="00A92E25"/>
    <w:rsid w:val="00AB307A"/>
    <w:rsid w:val="00AC12C4"/>
    <w:rsid w:val="00AC2B3F"/>
    <w:rsid w:val="00AC4A04"/>
    <w:rsid w:val="00AC556D"/>
    <w:rsid w:val="00AC6226"/>
    <w:rsid w:val="00AD0FEC"/>
    <w:rsid w:val="00AD1EAF"/>
    <w:rsid w:val="00AD218F"/>
    <w:rsid w:val="00AE5B5E"/>
    <w:rsid w:val="00B000AC"/>
    <w:rsid w:val="00B00D22"/>
    <w:rsid w:val="00B02E05"/>
    <w:rsid w:val="00B052DA"/>
    <w:rsid w:val="00B07590"/>
    <w:rsid w:val="00B07D0E"/>
    <w:rsid w:val="00B12B29"/>
    <w:rsid w:val="00B20778"/>
    <w:rsid w:val="00B217B9"/>
    <w:rsid w:val="00B2197E"/>
    <w:rsid w:val="00B2417F"/>
    <w:rsid w:val="00B242A1"/>
    <w:rsid w:val="00B26AC8"/>
    <w:rsid w:val="00B3004C"/>
    <w:rsid w:val="00B31BD0"/>
    <w:rsid w:val="00B32290"/>
    <w:rsid w:val="00B35D52"/>
    <w:rsid w:val="00B369B6"/>
    <w:rsid w:val="00B4194E"/>
    <w:rsid w:val="00B45ED9"/>
    <w:rsid w:val="00B47D01"/>
    <w:rsid w:val="00B60572"/>
    <w:rsid w:val="00B6291D"/>
    <w:rsid w:val="00B77963"/>
    <w:rsid w:val="00B80835"/>
    <w:rsid w:val="00B84CBF"/>
    <w:rsid w:val="00BA6C42"/>
    <w:rsid w:val="00BA7CE5"/>
    <w:rsid w:val="00BB3B29"/>
    <w:rsid w:val="00BB3D05"/>
    <w:rsid w:val="00BB4147"/>
    <w:rsid w:val="00BB54D8"/>
    <w:rsid w:val="00BB7FCA"/>
    <w:rsid w:val="00BD26D0"/>
    <w:rsid w:val="00BE4967"/>
    <w:rsid w:val="00BF05FA"/>
    <w:rsid w:val="00BF3F69"/>
    <w:rsid w:val="00C1053A"/>
    <w:rsid w:val="00C1292F"/>
    <w:rsid w:val="00C1555D"/>
    <w:rsid w:val="00C23F7C"/>
    <w:rsid w:val="00C36ABF"/>
    <w:rsid w:val="00C50C46"/>
    <w:rsid w:val="00C57DA5"/>
    <w:rsid w:val="00C678C5"/>
    <w:rsid w:val="00C801DA"/>
    <w:rsid w:val="00C848C3"/>
    <w:rsid w:val="00C914C1"/>
    <w:rsid w:val="00C930A6"/>
    <w:rsid w:val="00C95470"/>
    <w:rsid w:val="00CA36A9"/>
    <w:rsid w:val="00CA6999"/>
    <w:rsid w:val="00CB0B7C"/>
    <w:rsid w:val="00CB492B"/>
    <w:rsid w:val="00CC271E"/>
    <w:rsid w:val="00CC5E0E"/>
    <w:rsid w:val="00CC6D70"/>
    <w:rsid w:val="00CD29CA"/>
    <w:rsid w:val="00CD3434"/>
    <w:rsid w:val="00CD6997"/>
    <w:rsid w:val="00CD7FC5"/>
    <w:rsid w:val="00CE1A70"/>
    <w:rsid w:val="00CE4F2B"/>
    <w:rsid w:val="00CE5879"/>
    <w:rsid w:val="00CF100A"/>
    <w:rsid w:val="00CF5784"/>
    <w:rsid w:val="00D02F41"/>
    <w:rsid w:val="00D058E6"/>
    <w:rsid w:val="00D06784"/>
    <w:rsid w:val="00D116C6"/>
    <w:rsid w:val="00D1496A"/>
    <w:rsid w:val="00D20C1A"/>
    <w:rsid w:val="00D21748"/>
    <w:rsid w:val="00D23AE8"/>
    <w:rsid w:val="00D244D2"/>
    <w:rsid w:val="00D27050"/>
    <w:rsid w:val="00D31737"/>
    <w:rsid w:val="00D34E1C"/>
    <w:rsid w:val="00D364D9"/>
    <w:rsid w:val="00D41070"/>
    <w:rsid w:val="00D526C7"/>
    <w:rsid w:val="00D534D0"/>
    <w:rsid w:val="00D53E86"/>
    <w:rsid w:val="00D54ECA"/>
    <w:rsid w:val="00D552CC"/>
    <w:rsid w:val="00D56FAA"/>
    <w:rsid w:val="00D6525C"/>
    <w:rsid w:val="00D6612C"/>
    <w:rsid w:val="00D71F08"/>
    <w:rsid w:val="00D736F8"/>
    <w:rsid w:val="00D76A8F"/>
    <w:rsid w:val="00D84BBD"/>
    <w:rsid w:val="00D867B1"/>
    <w:rsid w:val="00D90CD6"/>
    <w:rsid w:val="00D93975"/>
    <w:rsid w:val="00D93EEF"/>
    <w:rsid w:val="00DA0D54"/>
    <w:rsid w:val="00DA2389"/>
    <w:rsid w:val="00DA3963"/>
    <w:rsid w:val="00DA59CA"/>
    <w:rsid w:val="00DB0453"/>
    <w:rsid w:val="00DB7AC1"/>
    <w:rsid w:val="00DC5724"/>
    <w:rsid w:val="00DC7487"/>
    <w:rsid w:val="00DC77FE"/>
    <w:rsid w:val="00DD1858"/>
    <w:rsid w:val="00DD5154"/>
    <w:rsid w:val="00DD572D"/>
    <w:rsid w:val="00DD7FA4"/>
    <w:rsid w:val="00DE1EB3"/>
    <w:rsid w:val="00DE2849"/>
    <w:rsid w:val="00DE64B3"/>
    <w:rsid w:val="00DE657D"/>
    <w:rsid w:val="00DE7EB0"/>
    <w:rsid w:val="00DF35F0"/>
    <w:rsid w:val="00DF38FF"/>
    <w:rsid w:val="00DF64B3"/>
    <w:rsid w:val="00E01781"/>
    <w:rsid w:val="00E0589B"/>
    <w:rsid w:val="00E16BB3"/>
    <w:rsid w:val="00E216B0"/>
    <w:rsid w:val="00E22E48"/>
    <w:rsid w:val="00E30E68"/>
    <w:rsid w:val="00E36FF2"/>
    <w:rsid w:val="00E44BDF"/>
    <w:rsid w:val="00E51748"/>
    <w:rsid w:val="00E520E6"/>
    <w:rsid w:val="00E52B4D"/>
    <w:rsid w:val="00E64675"/>
    <w:rsid w:val="00E66A0D"/>
    <w:rsid w:val="00E701DF"/>
    <w:rsid w:val="00E75CAE"/>
    <w:rsid w:val="00E800AF"/>
    <w:rsid w:val="00E80528"/>
    <w:rsid w:val="00E80D29"/>
    <w:rsid w:val="00E81696"/>
    <w:rsid w:val="00E851AF"/>
    <w:rsid w:val="00E852EF"/>
    <w:rsid w:val="00E8626F"/>
    <w:rsid w:val="00E86B95"/>
    <w:rsid w:val="00E923B2"/>
    <w:rsid w:val="00E92424"/>
    <w:rsid w:val="00E952CD"/>
    <w:rsid w:val="00EB0D82"/>
    <w:rsid w:val="00EC1CEF"/>
    <w:rsid w:val="00EC5577"/>
    <w:rsid w:val="00EC68B0"/>
    <w:rsid w:val="00ED135A"/>
    <w:rsid w:val="00ED3C51"/>
    <w:rsid w:val="00ED4020"/>
    <w:rsid w:val="00EE5B91"/>
    <w:rsid w:val="00EE6828"/>
    <w:rsid w:val="00EF1899"/>
    <w:rsid w:val="00EF37C0"/>
    <w:rsid w:val="00EF42DB"/>
    <w:rsid w:val="00F00E24"/>
    <w:rsid w:val="00F00E30"/>
    <w:rsid w:val="00F0374C"/>
    <w:rsid w:val="00F03ED2"/>
    <w:rsid w:val="00F03F76"/>
    <w:rsid w:val="00F07580"/>
    <w:rsid w:val="00F102F3"/>
    <w:rsid w:val="00F1379C"/>
    <w:rsid w:val="00F15CDA"/>
    <w:rsid w:val="00F171C2"/>
    <w:rsid w:val="00F22F31"/>
    <w:rsid w:val="00F23D87"/>
    <w:rsid w:val="00F255FE"/>
    <w:rsid w:val="00F25B2A"/>
    <w:rsid w:val="00F25E12"/>
    <w:rsid w:val="00F32B17"/>
    <w:rsid w:val="00F33082"/>
    <w:rsid w:val="00F33C91"/>
    <w:rsid w:val="00F47274"/>
    <w:rsid w:val="00F47587"/>
    <w:rsid w:val="00F51FCA"/>
    <w:rsid w:val="00F52653"/>
    <w:rsid w:val="00F53536"/>
    <w:rsid w:val="00F54424"/>
    <w:rsid w:val="00F6006F"/>
    <w:rsid w:val="00F637D2"/>
    <w:rsid w:val="00F71051"/>
    <w:rsid w:val="00F72A7F"/>
    <w:rsid w:val="00F77D81"/>
    <w:rsid w:val="00F80067"/>
    <w:rsid w:val="00F82BD6"/>
    <w:rsid w:val="00F862F0"/>
    <w:rsid w:val="00F91319"/>
    <w:rsid w:val="00F933A0"/>
    <w:rsid w:val="00F93DF1"/>
    <w:rsid w:val="00FA0DFE"/>
    <w:rsid w:val="00FA6860"/>
    <w:rsid w:val="00FA7E26"/>
    <w:rsid w:val="00FB2BBC"/>
    <w:rsid w:val="00FB69AE"/>
    <w:rsid w:val="00FC11D3"/>
    <w:rsid w:val="00FC577F"/>
    <w:rsid w:val="00FC6F74"/>
    <w:rsid w:val="00FD2374"/>
    <w:rsid w:val="00FD3A28"/>
    <w:rsid w:val="00FD5D56"/>
    <w:rsid w:val="00FD6317"/>
    <w:rsid w:val="00FE2146"/>
    <w:rsid w:val="00FE5668"/>
    <w:rsid w:val="00FE63AC"/>
    <w:rsid w:val="00FF0E55"/>
    <w:rsid w:val="00FF28CC"/>
    <w:rsid w:val="00FF354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28960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623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E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3E8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3E87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E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E87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E8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E87"/>
    <w:rPr>
      <w:rFonts w:ascii="Segoe UI" w:hAnsi="Segoe UI" w:cs="Segoe UI"/>
      <w:sz w:val="18"/>
      <w:szCs w:val="18"/>
      <w:lang w:eastAsia="ko-KR"/>
    </w:rPr>
  </w:style>
  <w:style w:type="paragraph" w:styleId="Beschriftung">
    <w:name w:val="caption"/>
    <w:basedOn w:val="Standard"/>
    <w:next w:val="Standard"/>
    <w:uiPriority w:val="35"/>
    <w:unhideWhenUsed/>
    <w:qFormat/>
    <w:rsid w:val="00D93EEF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F6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44BDF"/>
    <w:rPr>
      <w:rFonts w:ascii="Arial" w:hAnsi="Arial"/>
      <w:szCs w:val="24"/>
      <w:lang w:eastAsia="ko-K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47D0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47D01"/>
    <w:rPr>
      <w:rFonts w:ascii="Arial" w:hAnsi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102E-2D3E-41E9-897E-EFFF76D8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Pascal Häbig</cp:lastModifiedBy>
  <cp:revision>7</cp:revision>
  <dcterms:created xsi:type="dcterms:W3CDTF">2021-05-31T10:21:00Z</dcterms:created>
  <dcterms:modified xsi:type="dcterms:W3CDTF">2021-05-31T10:44:00Z</dcterms:modified>
</cp:coreProperties>
</file>