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795D" w14:textId="636EBC6E" w:rsidR="005E4D4F" w:rsidRPr="005E4D4F" w:rsidRDefault="00DB0486" w:rsidP="005E4D4F">
      <w:pPr>
        <w:pStyle w:val="Abstract-Titel"/>
      </w:pPr>
      <w:r>
        <w:t xml:space="preserve">An </w:t>
      </w:r>
      <w:proofErr w:type="spellStart"/>
      <w:r>
        <w:t>agent</w:t>
      </w:r>
      <w:proofErr w:type="spellEnd"/>
      <w:r>
        <w:t xml:space="preserve"> based </w:t>
      </w:r>
      <w:proofErr w:type="spellStart"/>
      <w:r>
        <w:t>modelling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estimating</w:t>
      </w:r>
      <w:proofErr w:type="spellEnd"/>
      <w:r w:rsidR="008B079A">
        <w:t xml:space="preserve"> </w:t>
      </w:r>
      <w:proofErr w:type="spellStart"/>
      <w:r w:rsidR="008B079A">
        <w:t>future</w:t>
      </w:r>
      <w:proofErr w:type="spellEnd"/>
      <w:r w:rsidR="008B079A">
        <w:t xml:space="preserve"> </w:t>
      </w:r>
      <w:proofErr w:type="spellStart"/>
      <w:r w:rsidR="008B079A">
        <w:t>energy</w:t>
      </w:r>
      <w:proofErr w:type="spellEnd"/>
      <w:r w:rsidR="008B079A">
        <w:t xml:space="preserve"> </w:t>
      </w:r>
      <w:proofErr w:type="spellStart"/>
      <w:r w:rsidR="008B079A">
        <w:t>demand</w:t>
      </w:r>
      <w:proofErr w:type="spellEnd"/>
      <w:r w:rsidR="008B079A">
        <w:t xml:space="preserve"> </w:t>
      </w:r>
      <w:r w:rsidR="00214714">
        <w:t xml:space="preserve">in urban and rural </w:t>
      </w:r>
      <w:proofErr w:type="spellStart"/>
      <w:r w:rsidR="00214714">
        <w:t>areas</w:t>
      </w:r>
      <w:proofErr w:type="spellEnd"/>
    </w:p>
    <w:p w14:paraId="4DFDE5E3" w14:textId="32BA01EB" w:rsidR="00BF05FA" w:rsidRDefault="008B079A" w:rsidP="00A156E4">
      <w:pPr>
        <w:pStyle w:val="AutorenOrganisation"/>
      </w:pPr>
      <w:proofErr w:type="spellStart"/>
      <w:r>
        <w:t>Subject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3</w:t>
      </w:r>
    </w:p>
    <w:p w14:paraId="20690E1B" w14:textId="721411EE" w:rsidR="005E4D4F" w:rsidRPr="008B079A" w:rsidRDefault="008B079A" w:rsidP="00A156E4">
      <w:pPr>
        <w:pStyle w:val="AutorenOrganisation"/>
      </w:pPr>
      <w:r>
        <w:t>Hannes</w:t>
      </w:r>
      <w:r w:rsidR="005E4D4F" w:rsidRPr="005E4D4F">
        <w:t xml:space="preserve"> </w:t>
      </w:r>
      <w:r>
        <w:t>KOCH</w:t>
      </w:r>
      <w:r w:rsidR="005E4D4F" w:rsidRPr="00010E92">
        <w:rPr>
          <w:vertAlign w:val="superscript"/>
        </w:rPr>
        <w:footnoteReference w:id="1"/>
      </w:r>
      <w:r w:rsidR="00A156E4" w:rsidRPr="00A156E4">
        <w:rPr>
          <w:vertAlign w:val="superscript"/>
        </w:rPr>
        <w:t>(1</w:t>
      </w:r>
      <w:r w:rsidR="00A156E4">
        <w:rPr>
          <w:vertAlign w:val="superscript"/>
        </w:rPr>
        <w:t>)</w:t>
      </w:r>
      <w:r w:rsidR="005E4D4F" w:rsidRPr="005E4D4F">
        <w:t xml:space="preserve">, </w:t>
      </w:r>
      <w:r>
        <w:t>Marius</w:t>
      </w:r>
      <w:r w:rsidR="00010E92" w:rsidRPr="005E4D4F">
        <w:t xml:space="preserve"> </w:t>
      </w:r>
      <w:proofErr w:type="gramStart"/>
      <w:r>
        <w:t>FEULNER</w:t>
      </w:r>
      <w:r w:rsidR="00A156E4" w:rsidRPr="00A156E4">
        <w:rPr>
          <w:vertAlign w:val="superscript"/>
        </w:rPr>
        <w:t>(</w:t>
      </w:r>
      <w:proofErr w:type="gramEnd"/>
      <w:r>
        <w:rPr>
          <w:vertAlign w:val="superscript"/>
        </w:rPr>
        <w:t>1</w:t>
      </w:r>
      <w:r w:rsidR="00A156E4">
        <w:rPr>
          <w:vertAlign w:val="superscript"/>
        </w:rPr>
        <w:t>)</w:t>
      </w:r>
      <w:r>
        <w:t>, Stefan LECHNER</w:t>
      </w:r>
      <w:r w:rsidRPr="008B079A">
        <w:rPr>
          <w:vertAlign w:val="superscript"/>
        </w:rPr>
        <w:t>(1)</w:t>
      </w:r>
    </w:p>
    <w:p w14:paraId="656988DD" w14:textId="354C2728" w:rsidR="00A07737" w:rsidRPr="005E4D4F" w:rsidRDefault="00A156E4" w:rsidP="008B079A">
      <w:pPr>
        <w:pStyle w:val="AutorenOrganisation"/>
      </w:pPr>
      <w:r>
        <w:rPr>
          <w:vertAlign w:val="superscript"/>
        </w:rPr>
        <w:t>(</w:t>
      </w:r>
      <w:proofErr w:type="gramStart"/>
      <w:r w:rsidR="00010E92" w:rsidRPr="00010E92">
        <w:rPr>
          <w:vertAlign w:val="superscript"/>
        </w:rPr>
        <w:t>1</w:t>
      </w:r>
      <w:r>
        <w:rPr>
          <w:vertAlign w:val="superscript"/>
        </w:rPr>
        <w:t>)</w:t>
      </w:r>
      <w:r w:rsidR="008B079A">
        <w:t>Technische</w:t>
      </w:r>
      <w:proofErr w:type="gramEnd"/>
      <w:r w:rsidR="008B079A">
        <w:t xml:space="preserve"> Hochschule Mittelhessen, Institut für Thermodynamik, Energieverfahrenstechnik und Systemanalyse</w:t>
      </w:r>
      <w:r w:rsidR="00326BDD">
        <w:t>, Wiesenstraße 14, 35390 Gießen</w:t>
      </w:r>
    </w:p>
    <w:p w14:paraId="2DDB1069" w14:textId="77777777" w:rsidR="00997DB6" w:rsidRDefault="00997DB6" w:rsidP="005E4D4F">
      <w:pPr>
        <w:pStyle w:val="Ueberschrift"/>
      </w:pPr>
    </w:p>
    <w:p w14:paraId="1CB474F5" w14:textId="6350CD26" w:rsidR="005E4D4F" w:rsidRPr="005E4D4F" w:rsidRDefault="005E4D4F" w:rsidP="005E4D4F">
      <w:pPr>
        <w:pStyle w:val="Ueberschrift"/>
      </w:pPr>
      <w:r w:rsidRPr="005E4D4F">
        <w:t xml:space="preserve">Motivation </w:t>
      </w:r>
      <w:r w:rsidR="000C2F36">
        <w:t xml:space="preserve">and </w:t>
      </w:r>
      <w:proofErr w:type="spellStart"/>
      <w:r w:rsidR="000C2F36">
        <w:t>research</w:t>
      </w:r>
      <w:proofErr w:type="spellEnd"/>
      <w:r w:rsidR="000C2F36">
        <w:t xml:space="preserve"> </w:t>
      </w:r>
      <w:proofErr w:type="spellStart"/>
      <w:r w:rsidR="000C2F36">
        <w:t>question</w:t>
      </w:r>
      <w:proofErr w:type="spellEnd"/>
    </w:p>
    <w:p w14:paraId="6E2E430F" w14:textId="0D83B534" w:rsidR="002B1549" w:rsidRPr="005E4D4F" w:rsidRDefault="006B07E0" w:rsidP="00227125">
      <w:r>
        <w:t xml:space="preserve">International </w:t>
      </w:r>
      <w:proofErr w:type="spellStart"/>
      <w:r>
        <w:t>efforts</w:t>
      </w:r>
      <w:proofErr w:type="spellEnd"/>
      <w:r>
        <w:t xml:space="preserve"> to </w:t>
      </w:r>
      <w:proofErr w:type="spellStart"/>
      <w:r>
        <w:t>drastically</w:t>
      </w:r>
      <w:proofErr w:type="spellEnd"/>
      <w:r>
        <w:t xml:space="preserve"> </w:t>
      </w:r>
      <w:proofErr w:type="spellStart"/>
      <w:r>
        <w:t>reduce</w:t>
      </w:r>
      <w:proofErr w:type="spellEnd"/>
      <w:r>
        <w:t xml:space="preserve"> </w:t>
      </w:r>
      <w:proofErr w:type="spellStart"/>
      <w:r>
        <w:t>greenhouse</w:t>
      </w:r>
      <w:proofErr w:type="spellEnd"/>
      <w:r>
        <w:t xml:space="preserve"> gas </w:t>
      </w:r>
      <w:proofErr w:type="spellStart"/>
      <w:r>
        <w:t>emissions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agitated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municipal and supraregional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Falling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 w:rsidR="00806EF1">
        <w:t>photovoltaics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decentralized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pose</w:t>
      </w:r>
      <w:proofErr w:type="spellEnd"/>
      <w:r>
        <w:t xml:space="preserve"> </w:t>
      </w:r>
      <w:proofErr w:type="spellStart"/>
      <w:r w:rsidR="00806EF1">
        <w:t>planning</w:t>
      </w:r>
      <w:proofErr w:type="spellEnd"/>
      <w:r w:rsidR="00806EF1">
        <w:t xml:space="preserve"> </w:t>
      </w:r>
      <w:proofErr w:type="spellStart"/>
      <w:r w:rsidR="00806EF1">
        <w:t>challenges</w:t>
      </w:r>
      <w:proofErr w:type="spellEnd"/>
      <w:r w:rsidR="00806EF1">
        <w:t xml:space="preserve"> </w:t>
      </w:r>
      <w:proofErr w:type="spellStart"/>
      <w:r w:rsidR="00806EF1">
        <w:t>for</w:t>
      </w:r>
      <w:proofErr w:type="spellEnd"/>
      <w:r w:rsidR="00806EF1">
        <w:t xml:space="preserve"> </w:t>
      </w:r>
      <w:proofErr w:type="spellStart"/>
      <w:r w:rsidR="00806EF1">
        <w:t>distribution</w:t>
      </w:r>
      <w:proofErr w:type="spellEnd"/>
      <w:r w:rsidR="00806EF1">
        <w:t xml:space="preserve"> network </w:t>
      </w:r>
      <w:proofErr w:type="spellStart"/>
      <w:r w:rsidR="00806EF1">
        <w:t>operators</w:t>
      </w:r>
      <w:proofErr w:type="spellEnd"/>
      <w:r w:rsidR="00806EF1">
        <w:t xml:space="preserve"> and </w:t>
      </w:r>
      <w:proofErr w:type="spellStart"/>
      <w:r w:rsidR="00806EF1">
        <w:t>energy</w:t>
      </w:r>
      <w:proofErr w:type="spellEnd"/>
      <w:r w:rsidR="00806EF1">
        <w:t xml:space="preserve"> </w:t>
      </w:r>
      <w:proofErr w:type="spellStart"/>
      <w:r w:rsidR="00806EF1">
        <w:t>suppliers</w:t>
      </w:r>
      <w:proofErr w:type="spellEnd"/>
      <w:r w:rsidR="00697F3C">
        <w:t xml:space="preserve"> </w:t>
      </w:r>
      <w:proofErr w:type="spellStart"/>
      <w:r w:rsidR="00697F3C">
        <w:t>as</w:t>
      </w:r>
      <w:proofErr w:type="spellEnd"/>
      <w:r w:rsidR="00697F3C">
        <w:t xml:space="preserve"> </w:t>
      </w:r>
      <w:r w:rsidR="00806EF1">
        <w:t xml:space="preserve">temporal </w:t>
      </w:r>
      <w:proofErr w:type="spellStart"/>
      <w:r w:rsidR="00697F3C">
        <w:t>load</w:t>
      </w:r>
      <w:proofErr w:type="spellEnd"/>
      <w:r w:rsidR="00697F3C">
        <w:t xml:space="preserve"> </w:t>
      </w:r>
      <w:proofErr w:type="spellStart"/>
      <w:r w:rsidR="00806EF1">
        <w:t>charactistics</w:t>
      </w:r>
      <w:proofErr w:type="spellEnd"/>
      <w:r w:rsidR="00806EF1">
        <w:t xml:space="preserve"> and </w:t>
      </w:r>
      <w:proofErr w:type="spellStart"/>
      <w:r w:rsidR="00806EF1">
        <w:t>the</w:t>
      </w:r>
      <w:proofErr w:type="spellEnd"/>
      <w:r w:rsidR="00806EF1">
        <w:t xml:space="preserve"> amount </w:t>
      </w:r>
      <w:proofErr w:type="spellStart"/>
      <w:r w:rsidR="00806EF1">
        <w:t>of</w:t>
      </w:r>
      <w:proofErr w:type="spellEnd"/>
      <w:r w:rsidR="00806EF1">
        <w:t xml:space="preserve"> total </w:t>
      </w:r>
      <w:proofErr w:type="spellStart"/>
      <w:r w:rsidR="00806EF1">
        <w:t>energy</w:t>
      </w:r>
      <w:proofErr w:type="spellEnd"/>
      <w:r w:rsidR="00806EF1">
        <w:t xml:space="preserve"> </w:t>
      </w:r>
      <w:proofErr w:type="spellStart"/>
      <w:r w:rsidR="00806EF1">
        <w:t>demand</w:t>
      </w:r>
      <w:proofErr w:type="spellEnd"/>
      <w:r w:rsidR="00806EF1">
        <w:t xml:space="preserve"> will continue to </w:t>
      </w:r>
      <w:proofErr w:type="spellStart"/>
      <w:r w:rsidR="00806EF1">
        <w:t>change</w:t>
      </w:r>
      <w:proofErr w:type="spellEnd"/>
      <w:r w:rsidR="00806EF1">
        <w:t xml:space="preserve">. In our </w:t>
      </w:r>
      <w:proofErr w:type="spellStart"/>
      <w:r w:rsidR="00806EF1">
        <w:t>work</w:t>
      </w:r>
      <w:proofErr w:type="spellEnd"/>
      <w:r w:rsidR="00806EF1">
        <w:t xml:space="preserve">, </w:t>
      </w:r>
      <w:proofErr w:type="spellStart"/>
      <w:r w:rsidR="00806EF1">
        <w:t>we</w:t>
      </w:r>
      <w:proofErr w:type="spellEnd"/>
      <w:r w:rsidR="00806EF1">
        <w:t xml:space="preserve"> </w:t>
      </w:r>
      <w:proofErr w:type="spellStart"/>
      <w:r w:rsidR="00806EF1">
        <w:t>investigate</w:t>
      </w:r>
      <w:proofErr w:type="spellEnd"/>
      <w:r w:rsidR="00806EF1">
        <w:t xml:space="preserve"> a </w:t>
      </w:r>
      <w:proofErr w:type="spellStart"/>
      <w:r w:rsidR="00806EF1">
        <w:t>methodology</w:t>
      </w:r>
      <w:proofErr w:type="spellEnd"/>
      <w:r w:rsidR="00806EF1">
        <w:t xml:space="preserve"> to </w:t>
      </w:r>
      <w:proofErr w:type="spellStart"/>
      <w:r w:rsidR="00806EF1">
        <w:t>model</w:t>
      </w:r>
      <w:proofErr w:type="spellEnd"/>
      <w:r w:rsidR="00806EF1">
        <w:t xml:space="preserve"> </w:t>
      </w:r>
      <w:proofErr w:type="spellStart"/>
      <w:r w:rsidR="00806EF1">
        <w:t>the</w:t>
      </w:r>
      <w:proofErr w:type="spellEnd"/>
      <w:r w:rsidR="00806EF1">
        <w:t xml:space="preserve"> </w:t>
      </w:r>
      <w:proofErr w:type="spellStart"/>
      <w:r w:rsidR="00806EF1">
        <w:t>development</w:t>
      </w:r>
      <w:proofErr w:type="spellEnd"/>
      <w:r w:rsidR="00806EF1">
        <w:t xml:space="preserve"> </w:t>
      </w:r>
      <w:proofErr w:type="spellStart"/>
      <w:r w:rsidR="00806EF1">
        <w:t>of</w:t>
      </w:r>
      <w:proofErr w:type="spellEnd"/>
      <w:r w:rsidR="00806EF1">
        <w:t xml:space="preserve"> </w:t>
      </w:r>
      <w:proofErr w:type="spellStart"/>
      <w:r w:rsidR="00806EF1">
        <w:t>consumer-side</w:t>
      </w:r>
      <w:proofErr w:type="spellEnd"/>
      <w:r w:rsidR="00806EF1">
        <w:t xml:space="preserve"> </w:t>
      </w:r>
      <w:proofErr w:type="spellStart"/>
      <w:r w:rsidR="00806EF1">
        <w:t>technology</w:t>
      </w:r>
      <w:proofErr w:type="spellEnd"/>
      <w:r w:rsidR="00806EF1">
        <w:t xml:space="preserve"> </w:t>
      </w:r>
      <w:proofErr w:type="spellStart"/>
      <w:r w:rsidR="00806EF1">
        <w:t>compositions</w:t>
      </w:r>
      <w:proofErr w:type="spellEnd"/>
      <w:r w:rsidR="00806EF1">
        <w:t xml:space="preserve"> </w:t>
      </w:r>
      <w:proofErr w:type="spellStart"/>
      <w:r w:rsidR="00F57A87">
        <w:t>using</w:t>
      </w:r>
      <w:proofErr w:type="spellEnd"/>
      <w:r w:rsidR="00806EF1">
        <w:t xml:space="preserve"> Markov </w:t>
      </w:r>
      <w:proofErr w:type="spellStart"/>
      <w:r w:rsidR="003D6D98">
        <w:t>chains</w:t>
      </w:r>
      <w:proofErr w:type="spellEnd"/>
      <w:r w:rsidR="00806EF1">
        <w:t xml:space="preserve">. </w:t>
      </w:r>
      <w:proofErr w:type="spellStart"/>
      <w:r w:rsidR="00806EF1">
        <w:t>We</w:t>
      </w:r>
      <w:proofErr w:type="spellEnd"/>
      <w:r w:rsidR="00806EF1">
        <w:t xml:space="preserve"> </w:t>
      </w:r>
      <w:proofErr w:type="spellStart"/>
      <w:r w:rsidR="00806EF1">
        <w:t>furthermore</w:t>
      </w:r>
      <w:proofErr w:type="spellEnd"/>
      <w:r w:rsidR="00806EF1">
        <w:t xml:space="preserve"> </w:t>
      </w:r>
      <w:proofErr w:type="spellStart"/>
      <w:r w:rsidR="00806EF1">
        <w:t>use</w:t>
      </w:r>
      <w:proofErr w:type="spellEnd"/>
      <w:r w:rsidR="00806EF1">
        <w:t xml:space="preserve"> </w:t>
      </w:r>
      <w:proofErr w:type="spellStart"/>
      <w:r w:rsidR="00806EF1">
        <w:t>this</w:t>
      </w:r>
      <w:proofErr w:type="spellEnd"/>
      <w:r w:rsidR="00806EF1">
        <w:t xml:space="preserve"> </w:t>
      </w:r>
      <w:proofErr w:type="spellStart"/>
      <w:r w:rsidR="00806EF1">
        <w:t>approach</w:t>
      </w:r>
      <w:proofErr w:type="spellEnd"/>
      <w:r w:rsidR="00806EF1">
        <w:t xml:space="preserve"> to </w:t>
      </w:r>
      <w:proofErr w:type="spellStart"/>
      <w:r w:rsidR="00806EF1">
        <w:t>map</w:t>
      </w:r>
      <w:proofErr w:type="spellEnd"/>
      <w:r w:rsidR="00806EF1">
        <w:t xml:space="preserve"> </w:t>
      </w:r>
      <w:proofErr w:type="spellStart"/>
      <w:r w:rsidR="00806EF1">
        <w:t>the</w:t>
      </w:r>
      <w:proofErr w:type="spellEnd"/>
      <w:r w:rsidR="00806EF1">
        <w:t xml:space="preserve"> </w:t>
      </w:r>
      <w:proofErr w:type="spellStart"/>
      <w:r w:rsidR="00806EF1">
        <w:t>effects</w:t>
      </w:r>
      <w:proofErr w:type="spellEnd"/>
      <w:r w:rsidR="00806EF1">
        <w:t xml:space="preserve"> </w:t>
      </w:r>
      <w:proofErr w:type="spellStart"/>
      <w:r w:rsidR="00806EF1">
        <w:t>of</w:t>
      </w:r>
      <w:proofErr w:type="spellEnd"/>
      <w:r w:rsidR="00806EF1">
        <w:t xml:space="preserve"> </w:t>
      </w:r>
      <w:proofErr w:type="spellStart"/>
      <w:r w:rsidR="00806EF1">
        <w:t>these</w:t>
      </w:r>
      <w:proofErr w:type="spellEnd"/>
      <w:r w:rsidR="00806EF1">
        <w:t xml:space="preserve"> </w:t>
      </w:r>
      <w:proofErr w:type="spellStart"/>
      <w:r w:rsidR="00806EF1">
        <w:t>processes</w:t>
      </w:r>
      <w:proofErr w:type="spellEnd"/>
      <w:r w:rsidR="00806EF1">
        <w:t xml:space="preserve"> </w:t>
      </w:r>
      <w:proofErr w:type="spellStart"/>
      <w:r w:rsidR="00806EF1">
        <w:t>onto</w:t>
      </w:r>
      <w:proofErr w:type="spellEnd"/>
      <w:r w:rsidR="00F57A87">
        <w:t xml:space="preserve"> a</w:t>
      </w:r>
      <w:r w:rsidR="00806EF1">
        <w:t xml:space="preserve"> s</w:t>
      </w:r>
      <w:proofErr w:type="spellStart"/>
      <w:r w:rsidR="00806EF1">
        <w:t>patially</w:t>
      </w:r>
      <w:proofErr w:type="spellEnd"/>
      <w:r w:rsidR="00806EF1">
        <w:t xml:space="preserve"> and </w:t>
      </w:r>
      <w:proofErr w:type="spellStart"/>
      <w:r w:rsidR="00806EF1">
        <w:t>temporally</w:t>
      </w:r>
      <w:proofErr w:type="spellEnd"/>
      <w:r w:rsidR="00806EF1">
        <w:t xml:space="preserve"> </w:t>
      </w:r>
      <w:proofErr w:type="spellStart"/>
      <w:r w:rsidR="00806EF1">
        <w:t>resolved</w:t>
      </w:r>
      <w:proofErr w:type="spellEnd"/>
      <w:r w:rsidR="00806EF1">
        <w:t xml:space="preserve"> </w:t>
      </w:r>
      <w:proofErr w:type="spellStart"/>
      <w:r w:rsidR="00806EF1">
        <w:t>energy</w:t>
      </w:r>
      <w:proofErr w:type="spellEnd"/>
      <w:r w:rsidR="00806EF1">
        <w:t xml:space="preserve"> </w:t>
      </w:r>
      <w:proofErr w:type="spellStart"/>
      <w:r w:rsidR="00806EF1">
        <w:t>system</w:t>
      </w:r>
      <w:proofErr w:type="spellEnd"/>
      <w:r w:rsidR="00806EF1">
        <w:t xml:space="preserve"> </w:t>
      </w:r>
      <w:proofErr w:type="spellStart"/>
      <w:r w:rsidR="00806EF1">
        <w:t>model</w:t>
      </w:r>
      <w:proofErr w:type="spellEnd"/>
      <w:r w:rsidR="00806EF1">
        <w:t xml:space="preserve"> and </w:t>
      </w:r>
      <w:proofErr w:type="spellStart"/>
      <w:r w:rsidR="00806EF1">
        <w:t>analyze</w:t>
      </w:r>
      <w:proofErr w:type="spellEnd"/>
      <w:r w:rsidR="00806EF1">
        <w:t xml:space="preserve"> </w:t>
      </w:r>
      <w:proofErr w:type="spellStart"/>
      <w:r w:rsidR="00806EF1">
        <w:t>the</w:t>
      </w:r>
      <w:proofErr w:type="spellEnd"/>
      <w:r w:rsidR="00806EF1">
        <w:t xml:space="preserve"> </w:t>
      </w:r>
      <w:proofErr w:type="spellStart"/>
      <w:r w:rsidR="00806EF1">
        <w:t>outcome</w:t>
      </w:r>
      <w:proofErr w:type="spellEnd"/>
      <w:r w:rsidR="00806EF1">
        <w:t>.</w:t>
      </w:r>
    </w:p>
    <w:p w14:paraId="20B31650" w14:textId="569F1AE1" w:rsidR="005E4D4F" w:rsidRDefault="00326BDD" w:rsidP="005E4D4F">
      <w:pPr>
        <w:pStyle w:val="Ueberschrift"/>
      </w:pPr>
      <w:proofErr w:type="spellStart"/>
      <w:r>
        <w:t>Methodology</w:t>
      </w:r>
      <w:proofErr w:type="spellEnd"/>
    </w:p>
    <w:p w14:paraId="30D70214" w14:textId="4A43DB99" w:rsidR="00DB0486" w:rsidRDefault="00DB0486" w:rsidP="005E4D4F">
      <w:pPr>
        <w:pStyle w:val="Ueberschrift"/>
        <w:rPr>
          <w:b w:val="0"/>
          <w:bCs/>
          <w:sz w:val="20"/>
          <w:szCs w:val="22"/>
        </w:rPr>
      </w:pPr>
      <w:proofErr w:type="spellStart"/>
      <w:r>
        <w:rPr>
          <w:b w:val="0"/>
          <w:bCs/>
          <w:sz w:val="20"/>
          <w:szCs w:val="22"/>
        </w:rPr>
        <w:t>Within</w:t>
      </w:r>
      <w:proofErr w:type="spellEnd"/>
      <w:r>
        <w:rPr>
          <w:b w:val="0"/>
          <w:bCs/>
          <w:sz w:val="20"/>
          <w:szCs w:val="22"/>
        </w:rPr>
        <w:t xml:space="preserve"> a municipal </w:t>
      </w:r>
      <w:proofErr w:type="spellStart"/>
      <w:r>
        <w:rPr>
          <w:b w:val="0"/>
          <w:bCs/>
          <w:sz w:val="20"/>
          <w:szCs w:val="22"/>
        </w:rPr>
        <w:t>energy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supply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system</w:t>
      </w:r>
      <w:proofErr w:type="spellEnd"/>
      <w:r>
        <w:rPr>
          <w:b w:val="0"/>
          <w:bCs/>
          <w:sz w:val="20"/>
          <w:szCs w:val="22"/>
        </w:rPr>
        <w:t xml:space="preserve">,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consumers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 w:rsidR="00B201B6">
        <w:rPr>
          <w:b w:val="0"/>
          <w:bCs/>
          <w:sz w:val="20"/>
          <w:szCs w:val="22"/>
        </w:rPr>
        <w:t>are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modelled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as</w:t>
      </w:r>
      <w:proofErr w:type="spellEnd"/>
      <w:r>
        <w:rPr>
          <w:b w:val="0"/>
          <w:bCs/>
          <w:sz w:val="20"/>
          <w:szCs w:val="22"/>
        </w:rPr>
        <w:t xml:space="preserve"> individual </w:t>
      </w:r>
      <w:proofErr w:type="spellStart"/>
      <w:r>
        <w:rPr>
          <w:b w:val="0"/>
          <w:bCs/>
          <w:sz w:val="20"/>
          <w:szCs w:val="22"/>
        </w:rPr>
        <w:t>agents</w:t>
      </w:r>
      <w:proofErr w:type="spellEnd"/>
      <w:r>
        <w:rPr>
          <w:b w:val="0"/>
          <w:bCs/>
          <w:sz w:val="20"/>
          <w:szCs w:val="22"/>
        </w:rPr>
        <w:t xml:space="preserve">. </w:t>
      </w:r>
      <w:proofErr w:type="spellStart"/>
      <w:r>
        <w:rPr>
          <w:b w:val="0"/>
          <w:bCs/>
          <w:sz w:val="20"/>
          <w:szCs w:val="22"/>
        </w:rPr>
        <w:t>For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area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of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study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investigated</w:t>
      </w:r>
      <w:proofErr w:type="spellEnd"/>
      <w:r>
        <w:rPr>
          <w:rStyle w:val="Funotenzeichen"/>
          <w:b w:val="0"/>
          <w:bCs/>
          <w:sz w:val="20"/>
          <w:szCs w:val="22"/>
        </w:rPr>
        <w:footnoteReference w:id="2"/>
      </w:r>
      <w:r w:rsidR="00CE534E">
        <w:rPr>
          <w:b w:val="0"/>
          <w:bCs/>
          <w:sz w:val="20"/>
          <w:szCs w:val="22"/>
        </w:rPr>
        <w:t xml:space="preserve">, a GIS </w:t>
      </w:r>
      <w:proofErr w:type="spellStart"/>
      <w:r w:rsidR="00CE534E">
        <w:rPr>
          <w:b w:val="0"/>
          <w:bCs/>
          <w:sz w:val="20"/>
          <w:szCs w:val="22"/>
        </w:rPr>
        <w:t>layer</w:t>
      </w:r>
      <w:proofErr w:type="spellEnd"/>
      <w:r w:rsidR="00CE534E">
        <w:rPr>
          <w:b w:val="0"/>
          <w:bCs/>
          <w:sz w:val="20"/>
          <w:szCs w:val="22"/>
        </w:rPr>
        <w:t xml:space="preserve"> (</w:t>
      </w:r>
      <w:proofErr w:type="spellStart"/>
      <w:r w:rsidR="00CE534E">
        <w:rPr>
          <w:b w:val="0"/>
          <w:bCs/>
          <w:sz w:val="20"/>
          <w:szCs w:val="22"/>
        </w:rPr>
        <w:t>geo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information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system</w:t>
      </w:r>
      <w:proofErr w:type="spellEnd"/>
      <w:r w:rsidR="00CE534E">
        <w:rPr>
          <w:b w:val="0"/>
          <w:bCs/>
          <w:sz w:val="20"/>
          <w:szCs w:val="22"/>
        </w:rPr>
        <w:t xml:space="preserve">) </w:t>
      </w:r>
      <w:r w:rsidR="00151E8B" w:rsidRPr="00151E8B">
        <w:rPr>
          <w:b w:val="0"/>
          <w:bCs/>
          <w:sz w:val="20"/>
          <w:szCs w:val="22"/>
        </w:rPr>
        <w:t>[1]</w:t>
      </w:r>
      <w:r w:rsidR="00CE534E">
        <w:rPr>
          <w:b w:val="0"/>
          <w:bCs/>
          <w:color w:val="FF0000"/>
          <w:sz w:val="20"/>
          <w:szCs w:val="22"/>
        </w:rPr>
        <w:t xml:space="preserve"> </w:t>
      </w:r>
      <w:proofErr w:type="spellStart"/>
      <w:r w:rsidR="00CE534E" w:rsidRPr="00CE534E">
        <w:rPr>
          <w:b w:val="0"/>
          <w:bCs/>
          <w:sz w:val="20"/>
          <w:szCs w:val="22"/>
        </w:rPr>
        <w:t>containing</w:t>
      </w:r>
      <w:proofErr w:type="spellEnd"/>
      <w:r w:rsidR="00CE534E" w:rsidRPr="00CE534E">
        <w:rPr>
          <w:b w:val="0"/>
          <w:bCs/>
          <w:sz w:val="20"/>
          <w:szCs w:val="22"/>
        </w:rPr>
        <w:t xml:space="preserve"> </w:t>
      </w:r>
      <w:proofErr w:type="spellStart"/>
      <w:r w:rsidR="00CE534E" w:rsidRPr="00CE534E">
        <w:rPr>
          <w:b w:val="0"/>
          <w:bCs/>
          <w:sz w:val="20"/>
          <w:szCs w:val="22"/>
        </w:rPr>
        <w:t>detailed</w:t>
      </w:r>
      <w:proofErr w:type="spellEnd"/>
      <w:r w:rsidR="00CE534E" w:rsidRPr="00CE534E">
        <w:rPr>
          <w:b w:val="0"/>
          <w:bCs/>
          <w:sz w:val="20"/>
          <w:szCs w:val="22"/>
        </w:rPr>
        <w:t xml:space="preserve"> </w:t>
      </w:r>
      <w:proofErr w:type="spellStart"/>
      <w:r w:rsidR="00CE534E" w:rsidRPr="00CE534E">
        <w:rPr>
          <w:b w:val="0"/>
          <w:bCs/>
          <w:sz w:val="20"/>
          <w:szCs w:val="22"/>
        </w:rPr>
        <w:t>building</w:t>
      </w:r>
      <w:proofErr w:type="spellEnd"/>
      <w:r w:rsidR="00CE534E" w:rsidRPr="00CE534E">
        <w:rPr>
          <w:b w:val="0"/>
          <w:bCs/>
          <w:sz w:val="20"/>
          <w:szCs w:val="22"/>
        </w:rPr>
        <w:t xml:space="preserve"> </w:t>
      </w:r>
      <w:proofErr w:type="spellStart"/>
      <w:r w:rsidR="00CE534E" w:rsidRPr="00CE534E">
        <w:rPr>
          <w:b w:val="0"/>
          <w:bCs/>
          <w:sz w:val="20"/>
          <w:szCs w:val="22"/>
        </w:rPr>
        <w:t>information</w:t>
      </w:r>
      <w:proofErr w:type="spellEnd"/>
      <w:r w:rsidR="00CE534E" w:rsidRPr="00CE534E">
        <w:rPr>
          <w:b w:val="0"/>
          <w:bCs/>
          <w:sz w:val="20"/>
          <w:szCs w:val="22"/>
        </w:rPr>
        <w:t xml:space="preserve"> such </w:t>
      </w:r>
      <w:proofErr w:type="spellStart"/>
      <w:r w:rsidR="00CE534E" w:rsidRPr="00CE534E">
        <w:rPr>
          <w:b w:val="0"/>
          <w:bCs/>
          <w:sz w:val="20"/>
          <w:szCs w:val="22"/>
        </w:rPr>
        <w:t>as</w:t>
      </w:r>
      <w:proofErr w:type="spellEnd"/>
      <w:r w:rsidR="00CE534E" w:rsidRP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usage</w:t>
      </w:r>
      <w:proofErr w:type="spellEnd"/>
      <w:r w:rsidR="00CE534E">
        <w:rPr>
          <w:b w:val="0"/>
          <w:bCs/>
          <w:sz w:val="20"/>
          <w:szCs w:val="22"/>
        </w:rPr>
        <w:t xml:space="preserve">, </w:t>
      </w:r>
      <w:proofErr w:type="spellStart"/>
      <w:r w:rsidR="00CE534E">
        <w:rPr>
          <w:b w:val="0"/>
          <w:bCs/>
          <w:sz w:val="20"/>
          <w:szCs w:val="22"/>
        </w:rPr>
        <w:t>electricity</w:t>
      </w:r>
      <w:proofErr w:type="spellEnd"/>
      <w:r w:rsidR="00CE534E">
        <w:rPr>
          <w:b w:val="0"/>
          <w:bCs/>
          <w:sz w:val="20"/>
          <w:szCs w:val="22"/>
        </w:rPr>
        <w:t xml:space="preserve"> and </w:t>
      </w:r>
      <w:proofErr w:type="spellStart"/>
      <w:r w:rsidR="00CE534E">
        <w:rPr>
          <w:b w:val="0"/>
          <w:bCs/>
          <w:sz w:val="20"/>
          <w:szCs w:val="22"/>
        </w:rPr>
        <w:t>heat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demand</w:t>
      </w:r>
      <w:proofErr w:type="spellEnd"/>
      <w:r w:rsidR="00151E8B">
        <w:rPr>
          <w:b w:val="0"/>
          <w:bCs/>
          <w:color w:val="FF0000"/>
          <w:sz w:val="20"/>
          <w:szCs w:val="22"/>
        </w:rPr>
        <w:t xml:space="preserve"> </w:t>
      </w:r>
      <w:r w:rsidR="00151E8B" w:rsidRPr="00151E8B">
        <w:rPr>
          <w:b w:val="0"/>
          <w:bCs/>
          <w:sz w:val="20"/>
          <w:szCs w:val="22"/>
        </w:rPr>
        <w:t>[2]</w:t>
      </w:r>
      <w:r w:rsidR="00B201B6">
        <w:rPr>
          <w:b w:val="0"/>
          <w:bCs/>
          <w:sz w:val="20"/>
          <w:szCs w:val="22"/>
        </w:rPr>
        <w:t xml:space="preserve"> </w:t>
      </w:r>
      <w:r w:rsidR="00CE534E">
        <w:rPr>
          <w:b w:val="0"/>
          <w:bCs/>
          <w:sz w:val="20"/>
          <w:szCs w:val="22"/>
        </w:rPr>
        <w:t xml:space="preserve">and </w:t>
      </w:r>
      <w:proofErr w:type="spellStart"/>
      <w:r w:rsidR="00CE534E">
        <w:rPr>
          <w:b w:val="0"/>
          <w:bCs/>
          <w:sz w:val="20"/>
          <w:szCs w:val="22"/>
        </w:rPr>
        <w:t>rooftop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photovoltaic</w:t>
      </w:r>
      <w:proofErr w:type="spellEnd"/>
      <w:r w:rsidR="00CE534E">
        <w:rPr>
          <w:b w:val="0"/>
          <w:bCs/>
          <w:sz w:val="20"/>
          <w:szCs w:val="22"/>
        </w:rPr>
        <w:t xml:space="preserve"> potential</w:t>
      </w:r>
      <w:r w:rsidR="00151E8B">
        <w:rPr>
          <w:b w:val="0"/>
          <w:bCs/>
          <w:color w:val="FF0000"/>
          <w:sz w:val="20"/>
          <w:szCs w:val="22"/>
        </w:rPr>
        <w:t xml:space="preserve"> </w:t>
      </w:r>
      <w:r w:rsidR="00151E8B" w:rsidRPr="00151E8B">
        <w:rPr>
          <w:b w:val="0"/>
          <w:bCs/>
          <w:sz w:val="20"/>
          <w:szCs w:val="22"/>
        </w:rPr>
        <w:t>(</w:t>
      </w:r>
      <w:proofErr w:type="spellStart"/>
      <w:r w:rsidR="00151E8B" w:rsidRPr="00151E8B">
        <w:rPr>
          <w:b w:val="0"/>
          <w:bCs/>
          <w:sz w:val="20"/>
          <w:szCs w:val="22"/>
        </w:rPr>
        <w:t>calculated</w:t>
      </w:r>
      <w:proofErr w:type="spellEnd"/>
      <w:r w:rsidR="00151E8B" w:rsidRPr="00151E8B">
        <w:rPr>
          <w:b w:val="0"/>
          <w:bCs/>
          <w:sz w:val="20"/>
          <w:szCs w:val="22"/>
        </w:rPr>
        <w:t xml:space="preserve"> based on LiDAR </w:t>
      </w:r>
      <w:proofErr w:type="spellStart"/>
      <w:r w:rsidR="00151E8B" w:rsidRPr="00151E8B">
        <w:rPr>
          <w:b w:val="0"/>
          <w:bCs/>
          <w:sz w:val="20"/>
          <w:szCs w:val="22"/>
        </w:rPr>
        <w:t>data</w:t>
      </w:r>
      <w:proofErr w:type="spellEnd"/>
      <w:r w:rsidR="00151E8B" w:rsidRPr="00151E8B">
        <w:rPr>
          <w:b w:val="0"/>
          <w:bCs/>
          <w:sz w:val="20"/>
          <w:szCs w:val="22"/>
        </w:rPr>
        <w:t xml:space="preserve"> [3])</w:t>
      </w:r>
      <w:r w:rsidR="00CE534E">
        <w:rPr>
          <w:b w:val="0"/>
          <w:bCs/>
          <w:color w:val="FF0000"/>
          <w:sz w:val="20"/>
          <w:szCs w:val="22"/>
        </w:rPr>
        <w:t xml:space="preserve"> </w:t>
      </w:r>
      <w:proofErr w:type="spellStart"/>
      <w:r w:rsidR="00B201B6">
        <w:rPr>
          <w:b w:val="0"/>
          <w:bCs/>
          <w:sz w:val="20"/>
          <w:szCs w:val="22"/>
        </w:rPr>
        <w:t>is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used</w:t>
      </w:r>
      <w:proofErr w:type="spellEnd"/>
      <w:r w:rsidR="00CE534E">
        <w:rPr>
          <w:b w:val="0"/>
          <w:bCs/>
          <w:sz w:val="20"/>
          <w:szCs w:val="22"/>
        </w:rPr>
        <w:t xml:space="preserve"> to </w:t>
      </w:r>
      <w:proofErr w:type="spellStart"/>
      <w:r w:rsidR="00CE534E">
        <w:rPr>
          <w:b w:val="0"/>
          <w:bCs/>
          <w:sz w:val="20"/>
          <w:szCs w:val="22"/>
        </w:rPr>
        <w:t>define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one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agent</w:t>
      </w:r>
      <w:proofErr w:type="spellEnd"/>
      <w:r w:rsidR="00CE534E">
        <w:rPr>
          <w:b w:val="0"/>
          <w:bCs/>
          <w:sz w:val="20"/>
          <w:szCs w:val="22"/>
        </w:rPr>
        <w:t xml:space="preserve"> per </w:t>
      </w:r>
      <w:proofErr w:type="spellStart"/>
      <w:r w:rsidR="00CE534E">
        <w:rPr>
          <w:b w:val="0"/>
          <w:bCs/>
          <w:sz w:val="20"/>
          <w:szCs w:val="22"/>
        </w:rPr>
        <w:t>building</w:t>
      </w:r>
      <w:proofErr w:type="spellEnd"/>
      <w:r w:rsidR="00CE534E">
        <w:rPr>
          <w:b w:val="0"/>
          <w:bCs/>
          <w:sz w:val="20"/>
          <w:szCs w:val="22"/>
        </w:rPr>
        <w:t xml:space="preserve">. In </w:t>
      </w:r>
      <w:proofErr w:type="spellStart"/>
      <w:r w:rsidR="00CE534E">
        <w:rPr>
          <w:b w:val="0"/>
          <w:bCs/>
          <w:sz w:val="20"/>
          <w:szCs w:val="22"/>
        </w:rPr>
        <w:t>addition</w:t>
      </w:r>
      <w:proofErr w:type="spellEnd"/>
      <w:r w:rsidR="00CE534E">
        <w:rPr>
          <w:b w:val="0"/>
          <w:bCs/>
          <w:sz w:val="20"/>
          <w:szCs w:val="22"/>
        </w:rPr>
        <w:t xml:space="preserve">, a </w:t>
      </w:r>
      <w:proofErr w:type="spellStart"/>
      <w:r w:rsidR="00CE534E">
        <w:rPr>
          <w:b w:val="0"/>
          <w:bCs/>
          <w:sz w:val="20"/>
          <w:szCs w:val="22"/>
        </w:rPr>
        <w:t>technology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selection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is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generated</w:t>
      </w:r>
      <w:proofErr w:type="spellEnd"/>
      <w:r w:rsidR="00CE534E">
        <w:rPr>
          <w:b w:val="0"/>
          <w:bCs/>
          <w:sz w:val="20"/>
          <w:szCs w:val="22"/>
        </w:rPr>
        <w:t xml:space="preserve"> </w:t>
      </w:r>
      <w:proofErr w:type="spellStart"/>
      <w:r w:rsidR="00CE534E">
        <w:rPr>
          <w:b w:val="0"/>
          <w:bCs/>
          <w:sz w:val="20"/>
          <w:szCs w:val="22"/>
        </w:rPr>
        <w:t>for</w:t>
      </w:r>
      <w:proofErr w:type="spellEnd"/>
      <w:r w:rsidR="00CE534E">
        <w:rPr>
          <w:b w:val="0"/>
          <w:bCs/>
          <w:sz w:val="20"/>
          <w:szCs w:val="22"/>
        </w:rPr>
        <w:t xml:space="preserve"> each </w:t>
      </w:r>
      <w:proofErr w:type="spellStart"/>
      <w:r w:rsidR="00CE534E">
        <w:rPr>
          <w:b w:val="0"/>
          <w:bCs/>
          <w:sz w:val="20"/>
          <w:szCs w:val="22"/>
        </w:rPr>
        <w:t>sector</w:t>
      </w:r>
      <w:proofErr w:type="spellEnd"/>
      <w:r w:rsidR="00CE534E">
        <w:rPr>
          <w:b w:val="0"/>
          <w:bCs/>
          <w:sz w:val="20"/>
          <w:szCs w:val="22"/>
        </w:rPr>
        <w:t xml:space="preserve"> (</w:t>
      </w:r>
      <w:proofErr w:type="spellStart"/>
      <w:r w:rsidR="00CE534E">
        <w:rPr>
          <w:b w:val="0"/>
          <w:bCs/>
          <w:sz w:val="20"/>
          <w:szCs w:val="22"/>
        </w:rPr>
        <w:t>electricity</w:t>
      </w:r>
      <w:proofErr w:type="spellEnd"/>
      <w:r w:rsidR="00CE534E">
        <w:rPr>
          <w:b w:val="0"/>
          <w:bCs/>
          <w:sz w:val="20"/>
          <w:szCs w:val="22"/>
        </w:rPr>
        <w:t xml:space="preserve">, </w:t>
      </w:r>
      <w:proofErr w:type="spellStart"/>
      <w:r w:rsidR="00CE534E">
        <w:rPr>
          <w:b w:val="0"/>
          <w:bCs/>
          <w:sz w:val="20"/>
          <w:szCs w:val="22"/>
        </w:rPr>
        <w:t>heat</w:t>
      </w:r>
      <w:proofErr w:type="spellEnd"/>
      <w:r w:rsidR="00CE534E">
        <w:rPr>
          <w:b w:val="0"/>
          <w:bCs/>
          <w:sz w:val="20"/>
          <w:szCs w:val="22"/>
        </w:rPr>
        <w:t xml:space="preserve"> and </w:t>
      </w:r>
      <w:proofErr w:type="spellStart"/>
      <w:r w:rsidR="00CE534E">
        <w:rPr>
          <w:b w:val="0"/>
          <w:bCs/>
          <w:sz w:val="20"/>
          <w:szCs w:val="22"/>
        </w:rPr>
        <w:t>mobility</w:t>
      </w:r>
      <w:proofErr w:type="spellEnd"/>
      <w:r w:rsidR="00CE534E">
        <w:rPr>
          <w:b w:val="0"/>
          <w:bCs/>
          <w:sz w:val="20"/>
          <w:szCs w:val="22"/>
        </w:rPr>
        <w:t xml:space="preserve">). </w:t>
      </w:r>
      <w:r w:rsidR="00934DD6">
        <w:rPr>
          <w:b w:val="0"/>
          <w:bCs/>
          <w:sz w:val="20"/>
          <w:szCs w:val="22"/>
        </w:rPr>
        <w:t xml:space="preserve">Every </w:t>
      </w:r>
      <w:proofErr w:type="spellStart"/>
      <w:r w:rsidR="00934DD6">
        <w:rPr>
          <w:b w:val="0"/>
          <w:bCs/>
          <w:sz w:val="20"/>
          <w:szCs w:val="22"/>
        </w:rPr>
        <w:t>agent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within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the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system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is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then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given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periodic</w:t>
      </w:r>
      <w:proofErr w:type="spellEnd"/>
      <w:r w:rsidR="00934DD6">
        <w:rPr>
          <w:b w:val="0"/>
          <w:bCs/>
          <w:sz w:val="20"/>
          <w:szCs w:val="22"/>
        </w:rPr>
        <w:t xml:space="preserve"> opportunities to carry out </w:t>
      </w:r>
      <w:proofErr w:type="spellStart"/>
      <w:r w:rsidR="00934DD6">
        <w:rPr>
          <w:b w:val="0"/>
          <w:bCs/>
          <w:sz w:val="20"/>
          <w:szCs w:val="22"/>
        </w:rPr>
        <w:t>technology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shifts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for</w:t>
      </w:r>
      <w:proofErr w:type="spellEnd"/>
      <w:r w:rsidR="00934DD6">
        <w:rPr>
          <w:b w:val="0"/>
          <w:bCs/>
          <w:sz w:val="20"/>
          <w:szCs w:val="22"/>
        </w:rPr>
        <w:t xml:space="preserve"> each </w:t>
      </w:r>
      <w:proofErr w:type="spellStart"/>
      <w:r w:rsidR="00934DD6">
        <w:rPr>
          <w:b w:val="0"/>
          <w:bCs/>
          <w:sz w:val="20"/>
          <w:szCs w:val="22"/>
        </w:rPr>
        <w:t>of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the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sectors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within</w:t>
      </w:r>
      <w:proofErr w:type="spellEnd"/>
      <w:r w:rsidR="00934DD6">
        <w:rPr>
          <w:b w:val="0"/>
          <w:bCs/>
          <w:sz w:val="20"/>
          <w:szCs w:val="22"/>
        </w:rPr>
        <w:t xml:space="preserve"> which </w:t>
      </w:r>
      <w:proofErr w:type="spellStart"/>
      <w:r w:rsidR="00934DD6">
        <w:rPr>
          <w:b w:val="0"/>
          <w:bCs/>
          <w:sz w:val="20"/>
          <w:szCs w:val="22"/>
        </w:rPr>
        <w:t>it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acts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as</w:t>
      </w:r>
      <w:proofErr w:type="spellEnd"/>
      <w:r w:rsidR="00934DD6">
        <w:rPr>
          <w:b w:val="0"/>
          <w:bCs/>
          <w:sz w:val="20"/>
          <w:szCs w:val="22"/>
        </w:rPr>
        <w:t xml:space="preserve"> a </w:t>
      </w:r>
      <w:proofErr w:type="spellStart"/>
      <w:r w:rsidR="00934DD6">
        <w:rPr>
          <w:b w:val="0"/>
          <w:bCs/>
          <w:sz w:val="20"/>
          <w:szCs w:val="22"/>
        </w:rPr>
        <w:t>consumer</w:t>
      </w:r>
      <w:proofErr w:type="spellEnd"/>
      <w:r w:rsidR="00934DD6">
        <w:rPr>
          <w:b w:val="0"/>
          <w:bCs/>
          <w:sz w:val="20"/>
          <w:szCs w:val="22"/>
        </w:rPr>
        <w:t xml:space="preserve">. The </w:t>
      </w:r>
      <w:proofErr w:type="spellStart"/>
      <w:r w:rsidR="00934DD6">
        <w:rPr>
          <w:b w:val="0"/>
          <w:bCs/>
          <w:sz w:val="20"/>
          <w:szCs w:val="22"/>
        </w:rPr>
        <w:t>probabilities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for</w:t>
      </w:r>
      <w:proofErr w:type="spellEnd"/>
      <w:r w:rsidR="00934DD6">
        <w:rPr>
          <w:b w:val="0"/>
          <w:bCs/>
          <w:sz w:val="20"/>
          <w:szCs w:val="22"/>
        </w:rPr>
        <w:t xml:space="preserve"> shifting </w:t>
      </w:r>
      <w:proofErr w:type="spellStart"/>
      <w:r w:rsidR="00934DD6">
        <w:rPr>
          <w:b w:val="0"/>
          <w:bCs/>
          <w:sz w:val="20"/>
          <w:szCs w:val="22"/>
        </w:rPr>
        <w:t>options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are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modeled</w:t>
      </w:r>
      <w:proofErr w:type="spellEnd"/>
      <w:r w:rsidR="00934DD6">
        <w:rPr>
          <w:b w:val="0"/>
          <w:bCs/>
          <w:sz w:val="20"/>
          <w:szCs w:val="22"/>
        </w:rPr>
        <w:t xml:space="preserve"> </w:t>
      </w:r>
      <w:proofErr w:type="spellStart"/>
      <w:r w:rsidR="00934DD6">
        <w:rPr>
          <w:b w:val="0"/>
          <w:bCs/>
          <w:sz w:val="20"/>
          <w:szCs w:val="22"/>
        </w:rPr>
        <w:t>as</w:t>
      </w:r>
      <w:proofErr w:type="spellEnd"/>
      <w:r w:rsidR="00934DD6">
        <w:rPr>
          <w:b w:val="0"/>
          <w:bCs/>
          <w:sz w:val="20"/>
          <w:szCs w:val="22"/>
        </w:rPr>
        <w:t xml:space="preserve"> Markov </w:t>
      </w:r>
      <w:proofErr w:type="spellStart"/>
      <w:r w:rsidR="00934DD6">
        <w:rPr>
          <w:b w:val="0"/>
          <w:bCs/>
          <w:sz w:val="20"/>
          <w:szCs w:val="22"/>
        </w:rPr>
        <w:t>transition</w:t>
      </w:r>
      <w:proofErr w:type="spellEnd"/>
      <w:r w:rsidR="00873C48">
        <w:rPr>
          <w:b w:val="0"/>
          <w:bCs/>
          <w:sz w:val="20"/>
          <w:szCs w:val="22"/>
        </w:rPr>
        <w:t xml:space="preserve"> </w:t>
      </w:r>
      <w:proofErr w:type="spellStart"/>
      <w:r w:rsidR="00873C48">
        <w:rPr>
          <w:b w:val="0"/>
          <w:bCs/>
          <w:sz w:val="20"/>
          <w:szCs w:val="22"/>
        </w:rPr>
        <w:t>matrices</w:t>
      </w:r>
      <w:proofErr w:type="spellEnd"/>
      <w:r w:rsidR="004A06F0">
        <w:rPr>
          <w:b w:val="0"/>
          <w:bCs/>
          <w:sz w:val="20"/>
          <w:szCs w:val="22"/>
        </w:rPr>
        <w:t xml:space="preserve">, </w:t>
      </w:r>
      <w:proofErr w:type="spellStart"/>
      <w:r w:rsidR="004A06F0">
        <w:rPr>
          <w:b w:val="0"/>
          <w:bCs/>
          <w:sz w:val="20"/>
          <w:szCs w:val="22"/>
        </w:rPr>
        <w:t>as</w:t>
      </w:r>
      <w:proofErr w:type="spellEnd"/>
      <w:r w:rsidR="004A06F0">
        <w:rPr>
          <w:b w:val="0"/>
          <w:bCs/>
          <w:sz w:val="20"/>
          <w:szCs w:val="22"/>
        </w:rPr>
        <w:t xml:space="preserve"> </w:t>
      </w:r>
      <w:proofErr w:type="spellStart"/>
      <w:r w:rsidR="004A06F0">
        <w:rPr>
          <w:b w:val="0"/>
          <w:bCs/>
          <w:sz w:val="20"/>
          <w:szCs w:val="22"/>
        </w:rPr>
        <w:t>shown</w:t>
      </w:r>
      <w:proofErr w:type="spellEnd"/>
      <w:r w:rsidR="004A06F0">
        <w:rPr>
          <w:b w:val="0"/>
          <w:bCs/>
          <w:sz w:val="20"/>
          <w:szCs w:val="22"/>
        </w:rPr>
        <w:t xml:space="preserve"> </w:t>
      </w:r>
      <w:r w:rsidR="003B0FA0">
        <w:rPr>
          <w:b w:val="0"/>
          <w:bCs/>
          <w:sz w:val="20"/>
          <w:szCs w:val="22"/>
        </w:rPr>
        <w:t xml:space="preserve">in </w:t>
      </w:r>
      <w:r w:rsidR="00977BBA" w:rsidRPr="00977BBA">
        <w:rPr>
          <w:b w:val="0"/>
          <w:bCs/>
          <w:sz w:val="20"/>
          <w:szCs w:val="20"/>
        </w:rPr>
        <w:fldChar w:fldCharType="begin"/>
      </w:r>
      <w:r w:rsidR="00977BBA" w:rsidRPr="00977BBA">
        <w:rPr>
          <w:b w:val="0"/>
          <w:bCs/>
          <w:sz w:val="20"/>
          <w:szCs w:val="20"/>
        </w:rPr>
        <w:instrText xml:space="preserve"> REF _Ref73271469 \h  \* MERGEFORMAT </w:instrText>
      </w:r>
      <w:r w:rsidR="00977BBA" w:rsidRPr="00977BBA">
        <w:rPr>
          <w:b w:val="0"/>
          <w:bCs/>
          <w:sz w:val="20"/>
          <w:szCs w:val="20"/>
        </w:rPr>
      </w:r>
      <w:r w:rsidR="00977BBA" w:rsidRPr="00977BBA">
        <w:rPr>
          <w:b w:val="0"/>
          <w:bCs/>
          <w:sz w:val="20"/>
          <w:szCs w:val="20"/>
        </w:rPr>
        <w:fldChar w:fldCharType="separate"/>
      </w:r>
      <w:r w:rsidR="00B534A6" w:rsidRPr="00B534A6">
        <w:rPr>
          <w:b w:val="0"/>
          <w:bCs/>
          <w:sz w:val="20"/>
          <w:szCs w:val="20"/>
        </w:rPr>
        <w:t xml:space="preserve">Figure </w:t>
      </w:r>
      <w:r w:rsidR="00B534A6" w:rsidRPr="00B534A6">
        <w:rPr>
          <w:b w:val="0"/>
          <w:bCs/>
          <w:noProof/>
          <w:sz w:val="20"/>
          <w:szCs w:val="20"/>
        </w:rPr>
        <w:t>1</w:t>
      </w:r>
      <w:r w:rsidR="00977BBA" w:rsidRPr="00977BBA">
        <w:rPr>
          <w:b w:val="0"/>
          <w:bCs/>
          <w:sz w:val="20"/>
          <w:szCs w:val="20"/>
        </w:rPr>
        <w:fldChar w:fldCharType="end"/>
      </w:r>
      <w:r w:rsidR="00977BBA">
        <w:rPr>
          <w:b w:val="0"/>
          <w:bCs/>
          <w:sz w:val="20"/>
          <w:szCs w:val="20"/>
        </w:rPr>
        <w:t>.</w:t>
      </w:r>
    </w:p>
    <w:p w14:paraId="43504661" w14:textId="0D8E3BAF" w:rsidR="003C0A25" w:rsidRDefault="003C0A25" w:rsidP="00E75AAE"/>
    <w:p w14:paraId="186A3C4B" w14:textId="77777777" w:rsidR="003B0FA0" w:rsidRDefault="004A06F0" w:rsidP="003B0FA0">
      <w:pPr>
        <w:keepNext/>
      </w:pPr>
      <w:r>
        <w:rPr>
          <w:noProof/>
        </w:rPr>
        <w:drawing>
          <wp:inline distT="0" distB="0" distL="0" distR="0" wp14:anchorId="10285692" wp14:editId="27F70D08">
            <wp:extent cx="4637315" cy="1535111"/>
            <wp:effectExtent l="0" t="0" r="0" b="8255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" t="-145" b="374"/>
                    <a:stretch/>
                  </pic:blipFill>
                  <pic:spPr bwMode="auto">
                    <a:xfrm>
                      <a:off x="0" y="0"/>
                      <a:ext cx="4720958" cy="156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68DE3" w14:textId="0C6670B9" w:rsidR="003C0A25" w:rsidRDefault="003B0FA0" w:rsidP="004D293C">
      <w:pPr>
        <w:pStyle w:val="Beschriftung"/>
      </w:pPr>
      <w:bookmarkStart w:id="0" w:name="_Ref73271469"/>
      <w:bookmarkStart w:id="1" w:name="_Ref73271452"/>
      <w:r w:rsidRPr="00977BBA">
        <w:rPr>
          <w:color w:val="auto"/>
          <w:sz w:val="20"/>
          <w:szCs w:val="20"/>
        </w:rPr>
        <w:t xml:space="preserve">Figure </w:t>
      </w:r>
      <w:r w:rsidR="001D7FFE" w:rsidRPr="00977BBA">
        <w:rPr>
          <w:color w:val="auto"/>
          <w:sz w:val="20"/>
          <w:szCs w:val="20"/>
        </w:rPr>
        <w:fldChar w:fldCharType="begin"/>
      </w:r>
      <w:r w:rsidR="001D7FFE" w:rsidRPr="00977BBA">
        <w:rPr>
          <w:color w:val="auto"/>
          <w:sz w:val="20"/>
          <w:szCs w:val="20"/>
        </w:rPr>
        <w:instrText xml:space="preserve"> SEQ Figure \* ARABIC </w:instrText>
      </w:r>
      <w:r w:rsidR="001D7FFE" w:rsidRPr="00977BBA">
        <w:rPr>
          <w:color w:val="auto"/>
          <w:sz w:val="20"/>
          <w:szCs w:val="20"/>
        </w:rPr>
        <w:fldChar w:fldCharType="separate"/>
      </w:r>
      <w:r w:rsidR="00B534A6">
        <w:rPr>
          <w:noProof/>
          <w:color w:val="auto"/>
          <w:sz w:val="20"/>
          <w:szCs w:val="20"/>
        </w:rPr>
        <w:t>1</w:t>
      </w:r>
      <w:r w:rsidR="001D7FFE" w:rsidRPr="00977BBA">
        <w:rPr>
          <w:noProof/>
          <w:color w:val="auto"/>
          <w:sz w:val="20"/>
          <w:szCs w:val="20"/>
        </w:rPr>
        <w:fldChar w:fldCharType="end"/>
      </w:r>
      <w:bookmarkEnd w:id="0"/>
      <w:r w:rsidRPr="00977BBA">
        <w:rPr>
          <w:color w:val="auto"/>
          <w:sz w:val="20"/>
          <w:szCs w:val="20"/>
        </w:rPr>
        <w:t xml:space="preserve">: Transition </w:t>
      </w:r>
      <w:proofErr w:type="spellStart"/>
      <w:r w:rsidRPr="00977BBA">
        <w:rPr>
          <w:color w:val="auto"/>
          <w:sz w:val="20"/>
          <w:szCs w:val="20"/>
        </w:rPr>
        <w:t>matrix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for</w:t>
      </w:r>
      <w:proofErr w:type="spellEnd"/>
      <w:r w:rsidRPr="00977BBA">
        <w:rPr>
          <w:color w:val="auto"/>
          <w:sz w:val="20"/>
          <w:szCs w:val="20"/>
        </w:rPr>
        <w:t xml:space="preserve"> shifting </w:t>
      </w:r>
      <w:proofErr w:type="spellStart"/>
      <w:r w:rsidRPr="00977BBA">
        <w:rPr>
          <w:color w:val="auto"/>
          <w:sz w:val="20"/>
          <w:szCs w:val="20"/>
        </w:rPr>
        <w:t>residential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heating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technologies</w:t>
      </w:r>
      <w:proofErr w:type="spellEnd"/>
      <w:r w:rsidRPr="00977BBA">
        <w:rPr>
          <w:color w:val="auto"/>
          <w:sz w:val="20"/>
          <w:szCs w:val="20"/>
        </w:rPr>
        <w:t xml:space="preserve">. The </w:t>
      </w:r>
      <w:proofErr w:type="spellStart"/>
      <w:r w:rsidRPr="00977BBA">
        <w:rPr>
          <w:color w:val="auto"/>
          <w:sz w:val="20"/>
          <w:szCs w:val="20"/>
        </w:rPr>
        <w:t>probability</w:t>
      </w:r>
      <w:proofErr w:type="spellEnd"/>
      <w:r w:rsidRPr="00977BBA">
        <w:rPr>
          <w:color w:val="auto"/>
          <w:sz w:val="20"/>
          <w:szCs w:val="20"/>
        </w:rPr>
        <w:t xml:space="preserve"> to </w:t>
      </w:r>
      <w:proofErr w:type="spellStart"/>
      <w:r w:rsidRPr="00977BBA">
        <w:rPr>
          <w:color w:val="auto"/>
          <w:sz w:val="20"/>
          <w:szCs w:val="20"/>
        </w:rPr>
        <w:t>keep</w:t>
      </w:r>
      <w:proofErr w:type="spellEnd"/>
      <w:r w:rsidRPr="00977BBA">
        <w:rPr>
          <w:color w:val="auto"/>
          <w:sz w:val="20"/>
          <w:szCs w:val="20"/>
        </w:rPr>
        <w:t xml:space="preserve"> a </w:t>
      </w:r>
      <w:proofErr w:type="spellStart"/>
      <w:r w:rsidRPr="00977BBA">
        <w:rPr>
          <w:color w:val="auto"/>
          <w:sz w:val="20"/>
          <w:szCs w:val="20"/>
        </w:rPr>
        <w:t>given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technology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must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be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close</w:t>
      </w:r>
      <w:proofErr w:type="spellEnd"/>
      <w:r w:rsidRPr="00977BBA">
        <w:rPr>
          <w:color w:val="auto"/>
          <w:sz w:val="20"/>
          <w:szCs w:val="20"/>
        </w:rPr>
        <w:t xml:space="preserve"> to </w:t>
      </w:r>
      <w:proofErr w:type="spellStart"/>
      <w:r w:rsidRPr="00977BBA">
        <w:rPr>
          <w:color w:val="auto"/>
          <w:sz w:val="20"/>
          <w:szCs w:val="20"/>
        </w:rPr>
        <w:t>one</w:t>
      </w:r>
      <w:proofErr w:type="spellEnd"/>
      <w:r w:rsidRPr="00977BBA">
        <w:rPr>
          <w:color w:val="auto"/>
          <w:sz w:val="20"/>
          <w:szCs w:val="20"/>
        </w:rPr>
        <w:t xml:space="preserve"> in </w:t>
      </w:r>
      <w:proofErr w:type="spellStart"/>
      <w:r w:rsidRPr="00977BBA">
        <w:rPr>
          <w:color w:val="auto"/>
          <w:sz w:val="20"/>
          <w:szCs w:val="20"/>
        </w:rPr>
        <w:t>order</w:t>
      </w:r>
      <w:proofErr w:type="spellEnd"/>
      <w:r w:rsidRPr="00977BBA">
        <w:rPr>
          <w:color w:val="auto"/>
          <w:sz w:val="20"/>
          <w:szCs w:val="20"/>
        </w:rPr>
        <w:t xml:space="preserve"> not to </w:t>
      </w:r>
      <w:proofErr w:type="spellStart"/>
      <w:r w:rsidRPr="00977BBA">
        <w:rPr>
          <w:color w:val="auto"/>
          <w:sz w:val="20"/>
          <w:szCs w:val="20"/>
        </w:rPr>
        <w:t>cause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unrealistic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amounts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of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technology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shifts</w:t>
      </w:r>
      <w:proofErr w:type="spellEnd"/>
      <w:r w:rsidR="00863092">
        <w:rPr>
          <w:color w:val="auto"/>
          <w:sz w:val="20"/>
          <w:szCs w:val="20"/>
        </w:rPr>
        <w:t xml:space="preserve"> (own </w:t>
      </w:r>
      <w:proofErr w:type="spellStart"/>
      <w:r w:rsidR="00863092">
        <w:rPr>
          <w:color w:val="auto"/>
          <w:sz w:val="20"/>
          <w:szCs w:val="20"/>
        </w:rPr>
        <w:t>representation</w:t>
      </w:r>
      <w:proofErr w:type="spellEnd"/>
      <w:r w:rsidR="00863092">
        <w:rPr>
          <w:color w:val="auto"/>
          <w:sz w:val="20"/>
          <w:szCs w:val="20"/>
        </w:rPr>
        <w:t>)</w:t>
      </w:r>
      <w:bookmarkEnd w:id="1"/>
    </w:p>
    <w:p w14:paraId="635543ED" w14:textId="3735AFD1" w:rsidR="00C7559B" w:rsidRDefault="00934DD6" w:rsidP="00383ACB">
      <w:r>
        <w:lastRenderedPageBreak/>
        <w:t xml:space="preserve">Over a </w:t>
      </w:r>
      <w:proofErr w:type="spellStart"/>
      <w:r w:rsidR="00B201B6">
        <w:t>selectable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time,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in Markov </w:t>
      </w:r>
      <w:proofErr w:type="spellStart"/>
      <w:r>
        <w:t>chains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each </w:t>
      </w:r>
      <w:proofErr w:type="spellStart"/>
      <w:r>
        <w:t>agent</w:t>
      </w:r>
      <w:proofErr w:type="spellEnd"/>
      <w:r>
        <w:t xml:space="preserve">. The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selection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usage</w:t>
      </w:r>
      <w:proofErr w:type="spellEnd"/>
      <w:r>
        <w:t xml:space="preserve"> </w:t>
      </w:r>
      <w:proofErr w:type="spellStart"/>
      <w:r>
        <w:t>category</w:t>
      </w:r>
      <w:proofErr w:type="spellEnd"/>
      <w:r>
        <w:t xml:space="preserve">, so that </w:t>
      </w:r>
      <w:proofErr w:type="spellStart"/>
      <w:r>
        <w:t>industrial</w:t>
      </w:r>
      <w:proofErr w:type="spellEnd"/>
      <w:r>
        <w:t xml:space="preserve"> </w:t>
      </w:r>
      <w:proofErr w:type="spellStart"/>
      <w:r>
        <w:t>consumers</w:t>
      </w:r>
      <w:proofErr w:type="spellEnd"/>
      <w:r>
        <w:t xml:space="preserve"> </w:t>
      </w:r>
      <w:proofErr w:type="spellStart"/>
      <w:r>
        <w:t>naturally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different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than private </w:t>
      </w:r>
      <w:proofErr w:type="spellStart"/>
      <w:r>
        <w:t>residential</w:t>
      </w:r>
      <w:proofErr w:type="spellEnd"/>
      <w:r>
        <w:t xml:space="preserve"> </w:t>
      </w:r>
      <w:proofErr w:type="spellStart"/>
      <w:r>
        <w:t>buildings</w:t>
      </w:r>
      <w:proofErr w:type="spellEnd"/>
      <w:r w:rsidR="00B201B6">
        <w:t xml:space="preserve">, </w:t>
      </w:r>
      <w:proofErr w:type="spellStart"/>
      <w:r w:rsidR="00B201B6">
        <w:t>for</w:t>
      </w:r>
      <w:proofErr w:type="spellEnd"/>
      <w:r w:rsidR="00B201B6">
        <w:t xml:space="preserve"> </w:t>
      </w:r>
      <w:proofErr w:type="spellStart"/>
      <w:r w:rsidR="00B201B6">
        <w:t>example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probabilities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r w:rsidR="00B201B6">
        <w:t xml:space="preserve">based </w:t>
      </w:r>
      <w:r>
        <w:t xml:space="preserve">on </w:t>
      </w:r>
      <w:proofErr w:type="spellStart"/>
      <w:r w:rsidR="00B201B6">
        <w:t>technology</w:t>
      </w:r>
      <w:proofErr w:type="spellEnd"/>
      <w:r w:rsidR="00B201B6">
        <w:t xml:space="preserve"> </w:t>
      </w:r>
      <w:proofErr w:type="spellStart"/>
      <w:r w:rsidR="00B201B6">
        <w:t>prices</w:t>
      </w:r>
      <w:proofErr w:type="spellEnd"/>
      <w:r>
        <w:t>. Non-</w:t>
      </w:r>
      <w:proofErr w:type="spellStart"/>
      <w:r>
        <w:t>economical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mapped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freely</w:t>
      </w:r>
      <w:proofErr w:type="spellEnd"/>
      <w:r>
        <w:t xml:space="preserve"> </w:t>
      </w:r>
      <w:proofErr w:type="spellStart"/>
      <w:r w:rsidR="00B201B6">
        <w:t>designable</w:t>
      </w:r>
      <w:proofErr w:type="spellEnd"/>
      <w:r>
        <w:t xml:space="preserve"> </w:t>
      </w:r>
      <w:proofErr w:type="spellStart"/>
      <w:r>
        <w:t>trend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. </w:t>
      </w:r>
      <w:proofErr w:type="spellStart"/>
      <w:r w:rsidR="00FA1A34">
        <w:t>When</w:t>
      </w:r>
      <w:proofErr w:type="spellEnd"/>
      <w:r w:rsidR="00FA1A34">
        <w:t xml:space="preserve"> </w:t>
      </w:r>
      <w:proofErr w:type="spellStart"/>
      <w:r w:rsidR="00FA1A34">
        <w:t>simulating</w:t>
      </w:r>
      <w:proofErr w:type="spellEnd"/>
      <w:r w:rsidR="00FA1A34">
        <w:t xml:space="preserve"> </w:t>
      </w:r>
      <w:proofErr w:type="spellStart"/>
      <w:r w:rsidR="00FA1A34">
        <w:t>the</w:t>
      </w:r>
      <w:proofErr w:type="spellEnd"/>
      <w:r w:rsidR="00FA1A34">
        <w:t xml:space="preserve"> </w:t>
      </w:r>
      <w:proofErr w:type="spellStart"/>
      <w:r w:rsidR="00FA1A34">
        <w:t>selected</w:t>
      </w:r>
      <w:proofErr w:type="spellEnd"/>
      <w:r w:rsidR="00FA1A34">
        <w:t xml:space="preserve"> </w:t>
      </w:r>
      <w:proofErr w:type="spellStart"/>
      <w:r w:rsidR="00FA1A34">
        <w:t>period</w:t>
      </w:r>
      <w:proofErr w:type="spellEnd"/>
      <w:r w:rsidR="00FA1A34">
        <w:t xml:space="preserve"> </w:t>
      </w:r>
      <w:proofErr w:type="spellStart"/>
      <w:r w:rsidR="00FA1A34">
        <w:t>of</w:t>
      </w:r>
      <w:proofErr w:type="spellEnd"/>
      <w:r w:rsidR="00FA1A34">
        <w:t xml:space="preserve"> time</w:t>
      </w:r>
      <w:r>
        <w:t xml:space="preserve">, each </w:t>
      </w:r>
      <w:proofErr w:type="spellStart"/>
      <w:r>
        <w:t>consumer</w:t>
      </w:r>
      <w:proofErr w:type="spellEnd"/>
      <w:r>
        <w:t xml:space="preserve"> </w:t>
      </w:r>
      <w:proofErr w:type="spellStart"/>
      <w:r>
        <w:t>adapts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</w:t>
      </w:r>
      <w:proofErr w:type="spellStart"/>
      <w:r>
        <w:t>constellation</w:t>
      </w:r>
      <w:proofErr w:type="spellEnd"/>
      <w:r>
        <w:t xml:space="preserve"> </w:t>
      </w:r>
      <w:proofErr w:type="spellStart"/>
      <w:r>
        <w:t>according</w:t>
      </w:r>
      <w:proofErr w:type="spellEnd"/>
      <w:r>
        <w:t xml:space="preserve"> to </w:t>
      </w:r>
      <w:proofErr w:type="spellStart"/>
      <w:r>
        <w:t>the</w:t>
      </w:r>
      <w:r w:rsidR="00B201B6">
        <w:t>ir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</w:t>
      </w:r>
      <w:proofErr w:type="spellStart"/>
      <w:r>
        <w:t>matrices</w:t>
      </w:r>
      <w:proofErr w:type="spellEnd"/>
      <w:r>
        <w:t xml:space="preserve">. </w:t>
      </w:r>
      <w:proofErr w:type="spellStart"/>
      <w:r w:rsidR="00B201B6">
        <w:t>Subsequently</w:t>
      </w:r>
      <w:proofErr w:type="spellEnd"/>
      <w:r w:rsidR="00B201B6">
        <w:t>,</w:t>
      </w:r>
      <w:r>
        <w:t xml:space="preserve"> </w:t>
      </w:r>
      <w:proofErr w:type="spellStart"/>
      <w:r>
        <w:t>resulting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and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profiles</w:t>
      </w:r>
      <w:proofErr w:type="spellEnd"/>
      <w:r>
        <w:t xml:space="preserve"> </w:t>
      </w:r>
      <w:proofErr w:type="spellStart"/>
      <w:r w:rsidR="00B201B6">
        <w:t>are</w:t>
      </w:r>
      <w:proofErr w:type="spellEnd"/>
      <w:r w:rsidR="00B201B6">
        <w:t xml:space="preserve"> </w:t>
      </w:r>
      <w:proofErr w:type="spellStart"/>
      <w:r w:rsidR="00B201B6">
        <w:t>calculated</w:t>
      </w:r>
      <w:proofErr w:type="spellEnd"/>
      <w:r>
        <w:t>.</w:t>
      </w:r>
      <w:r w:rsidR="0063204E">
        <w:t xml:space="preserve"> </w:t>
      </w:r>
    </w:p>
    <w:p w14:paraId="039ABA5C" w14:textId="29134545" w:rsidR="005E4D4F" w:rsidRDefault="00326BDD" w:rsidP="005E4D4F">
      <w:pPr>
        <w:pStyle w:val="Ueberschrift"/>
      </w:pPr>
      <w:proofErr w:type="spellStart"/>
      <w:r>
        <w:t>Results</w:t>
      </w:r>
      <w:proofErr w:type="spellEnd"/>
      <w:r>
        <w:t xml:space="preserve"> and </w:t>
      </w:r>
      <w:proofErr w:type="spellStart"/>
      <w:r>
        <w:t>discussion</w:t>
      </w:r>
      <w:proofErr w:type="spellEnd"/>
    </w:p>
    <w:p w14:paraId="134BFD34" w14:textId="7FA53E4D" w:rsidR="00E04E98" w:rsidRDefault="0063204E" w:rsidP="0027268D">
      <w:pPr>
        <w:pStyle w:val="Ueberschrift"/>
        <w:rPr>
          <w:b w:val="0"/>
          <w:bCs/>
          <w:sz w:val="20"/>
          <w:szCs w:val="22"/>
        </w:rPr>
      </w:pPr>
      <w:r>
        <w:rPr>
          <w:b w:val="0"/>
          <w:bCs/>
          <w:sz w:val="20"/>
          <w:szCs w:val="22"/>
        </w:rPr>
        <w:t xml:space="preserve">With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presented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methodology</w:t>
      </w:r>
      <w:proofErr w:type="spellEnd"/>
      <w:r>
        <w:rPr>
          <w:b w:val="0"/>
          <w:bCs/>
          <w:sz w:val="20"/>
          <w:szCs w:val="22"/>
        </w:rPr>
        <w:t xml:space="preserve">,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effects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of</w:t>
      </w:r>
      <w:proofErr w:type="spellEnd"/>
      <w:r>
        <w:rPr>
          <w:b w:val="0"/>
          <w:bCs/>
          <w:sz w:val="20"/>
          <w:szCs w:val="22"/>
        </w:rPr>
        <w:t xml:space="preserve"> different </w:t>
      </w:r>
      <w:proofErr w:type="spellStart"/>
      <w:r>
        <w:rPr>
          <w:b w:val="0"/>
          <w:bCs/>
          <w:sz w:val="20"/>
          <w:szCs w:val="22"/>
        </w:rPr>
        <w:t>factors</w:t>
      </w:r>
      <w:proofErr w:type="spellEnd"/>
      <w:r>
        <w:rPr>
          <w:b w:val="0"/>
          <w:bCs/>
          <w:sz w:val="20"/>
          <w:szCs w:val="22"/>
        </w:rPr>
        <w:t xml:space="preserve"> such </w:t>
      </w:r>
      <w:proofErr w:type="spellStart"/>
      <w:r>
        <w:rPr>
          <w:b w:val="0"/>
          <w:bCs/>
          <w:sz w:val="20"/>
          <w:szCs w:val="22"/>
        </w:rPr>
        <w:t>as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cost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developments</w:t>
      </w:r>
      <w:proofErr w:type="spellEnd"/>
      <w:r>
        <w:rPr>
          <w:b w:val="0"/>
          <w:bCs/>
          <w:sz w:val="20"/>
          <w:szCs w:val="22"/>
        </w:rPr>
        <w:t>, CO</w:t>
      </w:r>
      <w:r w:rsidRPr="0063204E">
        <w:rPr>
          <w:b w:val="0"/>
          <w:bCs/>
          <w:sz w:val="20"/>
          <w:szCs w:val="22"/>
          <w:vertAlign w:val="subscript"/>
        </w:rPr>
        <w:t>2</w:t>
      </w:r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prices</w:t>
      </w:r>
      <w:proofErr w:type="spellEnd"/>
      <w:r>
        <w:rPr>
          <w:b w:val="0"/>
          <w:bCs/>
          <w:sz w:val="20"/>
          <w:szCs w:val="22"/>
        </w:rPr>
        <w:t xml:space="preserve"> and </w:t>
      </w:r>
      <w:proofErr w:type="spellStart"/>
      <w:r>
        <w:rPr>
          <w:b w:val="0"/>
          <w:bCs/>
          <w:sz w:val="20"/>
          <w:szCs w:val="22"/>
        </w:rPr>
        <w:t>fluctuations</w:t>
      </w:r>
      <w:proofErr w:type="spellEnd"/>
      <w:r>
        <w:rPr>
          <w:b w:val="0"/>
          <w:bCs/>
          <w:sz w:val="20"/>
          <w:szCs w:val="22"/>
        </w:rPr>
        <w:t xml:space="preserve"> in renewable </w:t>
      </w:r>
      <w:proofErr w:type="spellStart"/>
      <w:r>
        <w:rPr>
          <w:b w:val="0"/>
          <w:bCs/>
          <w:sz w:val="20"/>
          <w:szCs w:val="22"/>
        </w:rPr>
        <w:t>energies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can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be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analyzed</w:t>
      </w:r>
      <w:proofErr w:type="spellEnd"/>
      <w:r>
        <w:rPr>
          <w:b w:val="0"/>
          <w:bCs/>
          <w:sz w:val="20"/>
          <w:szCs w:val="22"/>
        </w:rPr>
        <w:t xml:space="preserve"> on a </w:t>
      </w:r>
      <w:proofErr w:type="spellStart"/>
      <w:r>
        <w:rPr>
          <w:b w:val="0"/>
          <w:bCs/>
          <w:sz w:val="20"/>
          <w:szCs w:val="22"/>
        </w:rPr>
        <w:t>spatially</w:t>
      </w:r>
      <w:proofErr w:type="spellEnd"/>
      <w:r>
        <w:rPr>
          <w:b w:val="0"/>
          <w:bCs/>
          <w:sz w:val="20"/>
          <w:szCs w:val="22"/>
        </w:rPr>
        <w:t xml:space="preserve"> and </w:t>
      </w:r>
      <w:proofErr w:type="spellStart"/>
      <w:r>
        <w:rPr>
          <w:b w:val="0"/>
          <w:bCs/>
          <w:sz w:val="20"/>
          <w:szCs w:val="22"/>
        </w:rPr>
        <w:t>temporally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highly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resolved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data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basis</w:t>
      </w:r>
      <w:proofErr w:type="spellEnd"/>
      <w:r>
        <w:rPr>
          <w:b w:val="0"/>
          <w:bCs/>
          <w:sz w:val="20"/>
          <w:szCs w:val="22"/>
        </w:rPr>
        <w:t xml:space="preserve">. </w:t>
      </w:r>
      <w:proofErr w:type="spellStart"/>
      <w:r>
        <w:rPr>
          <w:b w:val="0"/>
          <w:bCs/>
          <w:sz w:val="20"/>
          <w:szCs w:val="22"/>
        </w:rPr>
        <w:t>Local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conditions</w:t>
      </w:r>
      <w:proofErr w:type="spellEnd"/>
      <w:r>
        <w:rPr>
          <w:b w:val="0"/>
          <w:bCs/>
          <w:sz w:val="20"/>
          <w:szCs w:val="22"/>
        </w:rPr>
        <w:t xml:space="preserve"> such </w:t>
      </w:r>
      <w:proofErr w:type="spellStart"/>
      <w:r>
        <w:rPr>
          <w:b w:val="0"/>
          <w:bCs/>
          <w:sz w:val="20"/>
          <w:szCs w:val="22"/>
        </w:rPr>
        <w:t>as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presence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or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absence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of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district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heating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or</w:t>
      </w:r>
      <w:proofErr w:type="spellEnd"/>
      <w:r>
        <w:rPr>
          <w:b w:val="0"/>
          <w:bCs/>
          <w:sz w:val="20"/>
          <w:szCs w:val="22"/>
        </w:rPr>
        <w:t xml:space="preserve"> gas </w:t>
      </w:r>
      <w:proofErr w:type="spellStart"/>
      <w:r>
        <w:rPr>
          <w:b w:val="0"/>
          <w:bCs/>
          <w:sz w:val="20"/>
          <w:szCs w:val="22"/>
        </w:rPr>
        <w:t>networks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can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be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included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by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adapting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transition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matrices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of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any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nearby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agents</w:t>
      </w:r>
      <w:proofErr w:type="spellEnd"/>
      <w:r>
        <w:rPr>
          <w:b w:val="0"/>
          <w:bCs/>
          <w:sz w:val="20"/>
          <w:szCs w:val="22"/>
        </w:rPr>
        <w:t xml:space="preserve">. In </w:t>
      </w:r>
      <w:proofErr w:type="spellStart"/>
      <w:r>
        <w:rPr>
          <w:b w:val="0"/>
          <w:bCs/>
          <w:sz w:val="20"/>
          <w:szCs w:val="22"/>
        </w:rPr>
        <w:t>this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way</w:t>
      </w:r>
      <w:proofErr w:type="spellEnd"/>
      <w:r>
        <w:rPr>
          <w:b w:val="0"/>
          <w:bCs/>
          <w:sz w:val="20"/>
          <w:szCs w:val="22"/>
        </w:rPr>
        <w:t xml:space="preserve">, </w:t>
      </w:r>
      <w:proofErr w:type="spellStart"/>
      <w:r>
        <w:rPr>
          <w:b w:val="0"/>
          <w:bCs/>
          <w:sz w:val="20"/>
          <w:szCs w:val="22"/>
        </w:rPr>
        <w:t>existing</w:t>
      </w:r>
      <w:proofErr w:type="spellEnd"/>
      <w:r>
        <w:rPr>
          <w:b w:val="0"/>
          <w:bCs/>
          <w:sz w:val="20"/>
          <w:szCs w:val="22"/>
        </w:rPr>
        <w:t xml:space="preserve"> network </w:t>
      </w:r>
      <w:proofErr w:type="spellStart"/>
      <w:r>
        <w:rPr>
          <w:b w:val="0"/>
          <w:bCs/>
          <w:sz w:val="20"/>
          <w:szCs w:val="22"/>
        </w:rPr>
        <w:t>sections</w:t>
      </w:r>
      <w:proofErr w:type="spellEnd"/>
      <w:r>
        <w:rPr>
          <w:b w:val="0"/>
          <w:bCs/>
          <w:sz w:val="20"/>
          <w:szCs w:val="22"/>
        </w:rPr>
        <w:t xml:space="preserve"> could </w:t>
      </w:r>
      <w:proofErr w:type="spellStart"/>
      <w:r>
        <w:rPr>
          <w:b w:val="0"/>
          <w:bCs/>
          <w:sz w:val="20"/>
          <w:szCs w:val="22"/>
        </w:rPr>
        <w:t>be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examined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with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regard</w:t>
      </w:r>
      <w:proofErr w:type="spellEnd"/>
      <w:r>
        <w:rPr>
          <w:b w:val="0"/>
          <w:bCs/>
          <w:sz w:val="20"/>
          <w:szCs w:val="22"/>
        </w:rPr>
        <w:t xml:space="preserve"> to </w:t>
      </w:r>
      <w:proofErr w:type="spellStart"/>
      <w:r>
        <w:rPr>
          <w:b w:val="0"/>
          <w:bCs/>
          <w:sz w:val="20"/>
          <w:szCs w:val="22"/>
        </w:rPr>
        <w:t>their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future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 w:rsidR="00215A45">
        <w:rPr>
          <w:b w:val="0"/>
          <w:bCs/>
          <w:sz w:val="20"/>
          <w:szCs w:val="22"/>
        </w:rPr>
        <w:t>supply</w:t>
      </w:r>
      <w:proofErr w:type="spellEnd"/>
      <w:r w:rsidR="00215A45">
        <w:rPr>
          <w:b w:val="0"/>
          <w:bCs/>
          <w:sz w:val="20"/>
          <w:szCs w:val="22"/>
        </w:rPr>
        <w:t xml:space="preserve"> </w:t>
      </w:r>
      <w:proofErr w:type="spellStart"/>
      <w:r w:rsidR="00215A45">
        <w:rPr>
          <w:b w:val="0"/>
          <w:bCs/>
          <w:sz w:val="20"/>
          <w:szCs w:val="22"/>
        </w:rPr>
        <w:t>density</w:t>
      </w:r>
      <w:proofErr w:type="spellEnd"/>
      <w:r>
        <w:rPr>
          <w:b w:val="0"/>
          <w:bCs/>
          <w:sz w:val="20"/>
          <w:szCs w:val="22"/>
        </w:rPr>
        <w:t xml:space="preserve"> in </w:t>
      </w:r>
      <w:proofErr w:type="spellStart"/>
      <w:r>
        <w:rPr>
          <w:b w:val="0"/>
          <w:bCs/>
          <w:sz w:val="20"/>
          <w:szCs w:val="22"/>
        </w:rPr>
        <w:t>various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scenarios</w:t>
      </w:r>
      <w:proofErr w:type="spellEnd"/>
      <w:r>
        <w:rPr>
          <w:b w:val="0"/>
          <w:bCs/>
          <w:sz w:val="20"/>
          <w:szCs w:val="22"/>
        </w:rPr>
        <w:t xml:space="preserve">. </w:t>
      </w:r>
      <w:r w:rsidR="00807CAE">
        <w:rPr>
          <w:b w:val="0"/>
          <w:bCs/>
          <w:sz w:val="20"/>
          <w:szCs w:val="22"/>
        </w:rPr>
        <w:t xml:space="preserve">Areas could also </w:t>
      </w:r>
      <w:proofErr w:type="spellStart"/>
      <w:r w:rsidR="00807CAE">
        <w:rPr>
          <w:b w:val="0"/>
          <w:bCs/>
          <w:sz w:val="20"/>
          <w:szCs w:val="22"/>
        </w:rPr>
        <w:t>be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compared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regarding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their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future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feasibility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for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district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heating</w:t>
      </w:r>
      <w:proofErr w:type="spellEnd"/>
      <w:r w:rsidR="0031795D">
        <w:rPr>
          <w:b w:val="0"/>
          <w:bCs/>
          <w:sz w:val="20"/>
          <w:szCs w:val="22"/>
        </w:rPr>
        <w:t xml:space="preserve">, </w:t>
      </w:r>
      <w:proofErr w:type="spellStart"/>
      <w:r w:rsidR="0031795D">
        <w:rPr>
          <w:b w:val="0"/>
          <w:bCs/>
          <w:sz w:val="20"/>
          <w:szCs w:val="22"/>
        </w:rPr>
        <w:t>decentralized</w:t>
      </w:r>
      <w:proofErr w:type="spellEnd"/>
      <w:r w:rsidR="0031795D">
        <w:rPr>
          <w:b w:val="0"/>
          <w:bCs/>
          <w:sz w:val="20"/>
          <w:szCs w:val="22"/>
        </w:rPr>
        <w:t xml:space="preserve"> power </w:t>
      </w:r>
      <w:proofErr w:type="spellStart"/>
      <w:r w:rsidR="0031795D">
        <w:rPr>
          <w:b w:val="0"/>
          <w:bCs/>
          <w:sz w:val="20"/>
          <w:szCs w:val="22"/>
        </w:rPr>
        <w:t>generation</w:t>
      </w:r>
      <w:proofErr w:type="spellEnd"/>
      <w:r w:rsidR="0031795D">
        <w:rPr>
          <w:b w:val="0"/>
          <w:bCs/>
          <w:sz w:val="20"/>
          <w:szCs w:val="22"/>
        </w:rPr>
        <w:t xml:space="preserve"> and </w:t>
      </w:r>
      <w:proofErr w:type="spellStart"/>
      <w:r w:rsidR="0031795D">
        <w:rPr>
          <w:b w:val="0"/>
          <w:bCs/>
          <w:sz w:val="20"/>
          <w:szCs w:val="22"/>
        </w:rPr>
        <w:t>increased</w:t>
      </w:r>
      <w:proofErr w:type="spellEnd"/>
      <w:r w:rsidR="0031795D">
        <w:rPr>
          <w:b w:val="0"/>
          <w:bCs/>
          <w:sz w:val="20"/>
          <w:szCs w:val="22"/>
        </w:rPr>
        <w:t xml:space="preserve"> </w:t>
      </w:r>
      <w:proofErr w:type="spellStart"/>
      <w:r w:rsidR="0031795D">
        <w:rPr>
          <w:b w:val="0"/>
          <w:bCs/>
          <w:sz w:val="20"/>
          <w:szCs w:val="22"/>
        </w:rPr>
        <w:t>heat</w:t>
      </w:r>
      <w:proofErr w:type="spellEnd"/>
      <w:r w:rsidR="0031795D">
        <w:rPr>
          <w:b w:val="0"/>
          <w:bCs/>
          <w:sz w:val="20"/>
          <w:szCs w:val="22"/>
        </w:rPr>
        <w:t xml:space="preserve"> pump </w:t>
      </w:r>
      <w:proofErr w:type="spellStart"/>
      <w:r w:rsidR="0031795D">
        <w:rPr>
          <w:b w:val="0"/>
          <w:bCs/>
          <w:sz w:val="20"/>
          <w:szCs w:val="22"/>
        </w:rPr>
        <w:t>penetration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r w:rsidR="004B5D26" w:rsidRPr="004B5D26">
        <w:rPr>
          <w:b w:val="0"/>
          <w:bCs/>
          <w:sz w:val="20"/>
          <w:szCs w:val="22"/>
        </w:rPr>
        <w:fldChar w:fldCharType="begin"/>
      </w:r>
      <w:r w:rsidR="004B5D26" w:rsidRPr="004B5D26">
        <w:rPr>
          <w:b w:val="0"/>
          <w:bCs/>
          <w:sz w:val="20"/>
          <w:szCs w:val="22"/>
        </w:rPr>
        <w:instrText xml:space="preserve"> REF _Ref73275029 \h  \* MERGEFORMAT </w:instrText>
      </w:r>
      <w:r w:rsidR="004B5D26" w:rsidRPr="004B5D26">
        <w:rPr>
          <w:b w:val="0"/>
          <w:bCs/>
          <w:sz w:val="20"/>
          <w:szCs w:val="22"/>
        </w:rPr>
      </w:r>
      <w:r w:rsidR="004B5D26" w:rsidRPr="004B5D26">
        <w:rPr>
          <w:b w:val="0"/>
          <w:bCs/>
          <w:sz w:val="20"/>
          <w:szCs w:val="22"/>
        </w:rPr>
        <w:fldChar w:fldCharType="separate"/>
      </w:r>
      <w:r w:rsidR="00B534A6" w:rsidRPr="00B534A6">
        <w:rPr>
          <w:b w:val="0"/>
          <w:bCs/>
          <w:sz w:val="20"/>
          <w:szCs w:val="20"/>
        </w:rPr>
        <w:t xml:space="preserve">Figure </w:t>
      </w:r>
      <w:r w:rsidR="00B534A6" w:rsidRPr="00B534A6">
        <w:rPr>
          <w:b w:val="0"/>
          <w:bCs/>
          <w:noProof/>
          <w:sz w:val="20"/>
          <w:szCs w:val="20"/>
        </w:rPr>
        <w:t>2</w:t>
      </w:r>
      <w:r w:rsidR="004B5D26" w:rsidRPr="004B5D26">
        <w:rPr>
          <w:b w:val="0"/>
          <w:bCs/>
          <w:sz w:val="20"/>
          <w:szCs w:val="22"/>
        </w:rPr>
        <w:fldChar w:fldCharType="end"/>
      </w:r>
      <w:r w:rsidR="004B5D26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displays</w:t>
      </w:r>
      <w:proofErr w:type="spellEnd"/>
      <w:r w:rsidR="00807CAE">
        <w:rPr>
          <w:b w:val="0"/>
          <w:bCs/>
          <w:sz w:val="20"/>
          <w:szCs w:val="22"/>
        </w:rPr>
        <w:t xml:space="preserve"> a </w:t>
      </w:r>
      <w:proofErr w:type="spellStart"/>
      <w:r w:rsidR="00807CAE">
        <w:rPr>
          <w:b w:val="0"/>
          <w:bCs/>
          <w:sz w:val="20"/>
          <w:szCs w:val="22"/>
        </w:rPr>
        <w:t>spatial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comparison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807CAE">
        <w:rPr>
          <w:b w:val="0"/>
          <w:bCs/>
          <w:sz w:val="20"/>
          <w:szCs w:val="22"/>
        </w:rPr>
        <w:t>between</w:t>
      </w:r>
      <w:proofErr w:type="spellEnd"/>
      <w:r w:rsidR="00807CAE">
        <w:rPr>
          <w:b w:val="0"/>
          <w:bCs/>
          <w:sz w:val="20"/>
          <w:szCs w:val="22"/>
        </w:rPr>
        <w:t xml:space="preserve"> </w:t>
      </w:r>
      <w:proofErr w:type="spellStart"/>
      <w:r w:rsidR="00B54837">
        <w:rPr>
          <w:b w:val="0"/>
          <w:bCs/>
          <w:sz w:val="20"/>
          <w:szCs w:val="22"/>
        </w:rPr>
        <w:t>natural</w:t>
      </w:r>
      <w:proofErr w:type="spellEnd"/>
      <w:r w:rsidR="00B54837">
        <w:rPr>
          <w:b w:val="0"/>
          <w:bCs/>
          <w:sz w:val="20"/>
          <w:szCs w:val="22"/>
        </w:rPr>
        <w:t xml:space="preserve"> </w:t>
      </w:r>
      <w:proofErr w:type="spellStart"/>
      <w:r w:rsidR="00B54837">
        <w:rPr>
          <w:b w:val="0"/>
          <w:bCs/>
          <w:sz w:val="20"/>
          <w:szCs w:val="22"/>
        </w:rPr>
        <w:t>gas</w:t>
      </w:r>
      <w:proofErr w:type="spellEnd"/>
      <w:r w:rsidR="00B54837">
        <w:rPr>
          <w:b w:val="0"/>
          <w:bCs/>
          <w:sz w:val="20"/>
          <w:szCs w:val="22"/>
        </w:rPr>
        <w:t xml:space="preserve"> </w:t>
      </w:r>
      <w:proofErr w:type="spellStart"/>
      <w:r w:rsidR="00B54837">
        <w:rPr>
          <w:b w:val="0"/>
          <w:bCs/>
          <w:sz w:val="20"/>
          <w:szCs w:val="22"/>
        </w:rPr>
        <w:t>supply</w:t>
      </w:r>
      <w:proofErr w:type="spellEnd"/>
      <w:r w:rsidR="00B54837">
        <w:rPr>
          <w:b w:val="0"/>
          <w:bCs/>
          <w:sz w:val="20"/>
          <w:szCs w:val="22"/>
        </w:rPr>
        <w:t xml:space="preserve"> </w:t>
      </w:r>
      <w:proofErr w:type="spellStart"/>
      <w:r w:rsidR="00B54837">
        <w:rPr>
          <w:b w:val="0"/>
          <w:bCs/>
          <w:sz w:val="20"/>
          <w:szCs w:val="22"/>
        </w:rPr>
        <w:t>density</w:t>
      </w:r>
      <w:proofErr w:type="spellEnd"/>
      <w:r w:rsidR="00B54837">
        <w:rPr>
          <w:b w:val="0"/>
          <w:bCs/>
          <w:sz w:val="20"/>
          <w:szCs w:val="22"/>
        </w:rPr>
        <w:t xml:space="preserve"> </w:t>
      </w:r>
      <w:proofErr w:type="spellStart"/>
      <w:r w:rsidR="00B54837">
        <w:rPr>
          <w:b w:val="0"/>
          <w:bCs/>
          <w:sz w:val="20"/>
          <w:szCs w:val="22"/>
        </w:rPr>
        <w:t>today</w:t>
      </w:r>
      <w:proofErr w:type="spellEnd"/>
      <w:r w:rsidR="00B54837">
        <w:rPr>
          <w:b w:val="0"/>
          <w:bCs/>
          <w:sz w:val="20"/>
          <w:szCs w:val="22"/>
        </w:rPr>
        <w:t xml:space="preserve"> and in 2050 </w:t>
      </w:r>
      <w:proofErr w:type="spellStart"/>
      <w:r w:rsidR="00B54837">
        <w:rPr>
          <w:b w:val="0"/>
          <w:bCs/>
          <w:sz w:val="20"/>
          <w:szCs w:val="22"/>
        </w:rPr>
        <w:t>following</w:t>
      </w:r>
      <w:proofErr w:type="spellEnd"/>
      <w:r w:rsidR="00B54837">
        <w:rPr>
          <w:b w:val="0"/>
          <w:bCs/>
          <w:sz w:val="20"/>
          <w:szCs w:val="22"/>
        </w:rPr>
        <w:t xml:space="preserve"> an </w:t>
      </w:r>
      <w:proofErr w:type="spellStart"/>
      <w:r w:rsidR="00B54837">
        <w:rPr>
          <w:b w:val="0"/>
          <w:bCs/>
          <w:sz w:val="20"/>
          <w:szCs w:val="22"/>
        </w:rPr>
        <w:t>electrification</w:t>
      </w:r>
      <w:proofErr w:type="spellEnd"/>
      <w:r w:rsidR="00B54837">
        <w:rPr>
          <w:b w:val="0"/>
          <w:bCs/>
          <w:sz w:val="20"/>
          <w:szCs w:val="22"/>
        </w:rPr>
        <w:t xml:space="preserve"> </w:t>
      </w:r>
      <w:proofErr w:type="spellStart"/>
      <w:r w:rsidR="00B54837">
        <w:rPr>
          <w:b w:val="0"/>
          <w:bCs/>
          <w:sz w:val="20"/>
          <w:szCs w:val="22"/>
        </w:rPr>
        <w:t>scenario</w:t>
      </w:r>
      <w:proofErr w:type="spellEnd"/>
      <w:r w:rsidR="00807CAE">
        <w:rPr>
          <w:b w:val="0"/>
          <w:bCs/>
          <w:sz w:val="20"/>
          <w:szCs w:val="22"/>
        </w:rPr>
        <w:t>.</w:t>
      </w:r>
    </w:p>
    <w:p w14:paraId="78C69DD7" w14:textId="77777777" w:rsidR="00A860BE" w:rsidRDefault="00A860BE" w:rsidP="0027268D">
      <w:pPr>
        <w:pStyle w:val="Ueberschrift"/>
        <w:rPr>
          <w:b w:val="0"/>
          <w:bCs/>
          <w:sz w:val="20"/>
          <w:szCs w:val="22"/>
        </w:rPr>
      </w:pPr>
    </w:p>
    <w:p w14:paraId="591207A0" w14:textId="77777777" w:rsidR="004B5D26" w:rsidRDefault="00B54837" w:rsidP="004B5D26">
      <w:pPr>
        <w:pStyle w:val="Ueberschrift"/>
        <w:keepNext/>
      </w:pPr>
      <w:r w:rsidRPr="00B54837">
        <w:rPr>
          <w:b w:val="0"/>
          <w:bCs/>
          <w:noProof/>
          <w:sz w:val="20"/>
          <w:szCs w:val="22"/>
        </w:rPr>
        <w:drawing>
          <wp:inline distT="0" distB="0" distL="0" distR="0" wp14:anchorId="48E64FF1" wp14:editId="58964752">
            <wp:extent cx="5748474" cy="2296160"/>
            <wp:effectExtent l="0" t="0" r="508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474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08581" w14:textId="509C42A8" w:rsidR="00B54837" w:rsidRPr="004B5D26" w:rsidRDefault="004B5D26" w:rsidP="004B5D26">
      <w:pPr>
        <w:pStyle w:val="Beschriftung"/>
        <w:rPr>
          <w:b/>
          <w:bCs/>
          <w:color w:val="auto"/>
          <w:sz w:val="22"/>
          <w:szCs w:val="24"/>
        </w:rPr>
      </w:pPr>
      <w:bookmarkStart w:id="2" w:name="_Ref73275029"/>
      <w:r w:rsidRPr="004B5D26">
        <w:rPr>
          <w:color w:val="auto"/>
          <w:sz w:val="20"/>
          <w:szCs w:val="20"/>
        </w:rPr>
        <w:t xml:space="preserve">Figure </w:t>
      </w:r>
      <w:r w:rsidRPr="004B5D26">
        <w:rPr>
          <w:color w:val="auto"/>
          <w:sz w:val="20"/>
          <w:szCs w:val="20"/>
        </w:rPr>
        <w:fldChar w:fldCharType="begin"/>
      </w:r>
      <w:r w:rsidRPr="004B5D26">
        <w:rPr>
          <w:color w:val="auto"/>
          <w:sz w:val="20"/>
          <w:szCs w:val="20"/>
        </w:rPr>
        <w:instrText xml:space="preserve"> SEQ Figure \* ARABIC </w:instrText>
      </w:r>
      <w:r w:rsidRPr="004B5D26">
        <w:rPr>
          <w:color w:val="auto"/>
          <w:sz w:val="20"/>
          <w:szCs w:val="20"/>
        </w:rPr>
        <w:fldChar w:fldCharType="separate"/>
      </w:r>
      <w:r w:rsidR="00B534A6">
        <w:rPr>
          <w:noProof/>
          <w:color w:val="auto"/>
          <w:sz w:val="20"/>
          <w:szCs w:val="20"/>
        </w:rPr>
        <w:t>2</w:t>
      </w:r>
      <w:r w:rsidRPr="004B5D26">
        <w:rPr>
          <w:color w:val="auto"/>
          <w:sz w:val="20"/>
          <w:szCs w:val="20"/>
        </w:rPr>
        <w:fldChar w:fldCharType="end"/>
      </w:r>
      <w:bookmarkEnd w:id="2"/>
      <w:r w:rsidRPr="004B5D26">
        <w:rPr>
          <w:color w:val="auto"/>
          <w:sz w:val="20"/>
          <w:szCs w:val="20"/>
        </w:rPr>
        <w:t xml:space="preserve">: </w:t>
      </w:r>
      <w:proofErr w:type="spellStart"/>
      <w:r w:rsidRPr="004B5D26">
        <w:rPr>
          <w:color w:val="auto"/>
          <w:sz w:val="20"/>
          <w:szCs w:val="20"/>
        </w:rPr>
        <w:t>Heatmap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representation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of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today‘s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natural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gas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supply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density</w:t>
      </w:r>
      <w:proofErr w:type="spellEnd"/>
      <w:r w:rsidRPr="004B5D26">
        <w:rPr>
          <w:color w:val="auto"/>
          <w:sz w:val="20"/>
          <w:szCs w:val="20"/>
        </w:rPr>
        <w:t xml:space="preserve"> in </w:t>
      </w:r>
      <w:proofErr w:type="spellStart"/>
      <w:r w:rsidRPr="004B5D26">
        <w:rPr>
          <w:color w:val="auto"/>
          <w:sz w:val="20"/>
          <w:szCs w:val="20"/>
        </w:rPr>
        <w:t>the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area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of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study</w:t>
      </w:r>
      <w:proofErr w:type="spellEnd"/>
      <w:r w:rsidRPr="004B5D26">
        <w:rPr>
          <w:color w:val="auto"/>
          <w:sz w:val="20"/>
          <w:szCs w:val="20"/>
        </w:rPr>
        <w:t xml:space="preserve"> in </w:t>
      </w:r>
      <w:proofErr w:type="spellStart"/>
      <w:r w:rsidRPr="004B5D26">
        <w:rPr>
          <w:color w:val="auto"/>
          <w:sz w:val="20"/>
          <w:szCs w:val="20"/>
        </w:rPr>
        <w:t>comparison</w:t>
      </w:r>
      <w:proofErr w:type="spellEnd"/>
      <w:r w:rsidRPr="004B5D26">
        <w:rPr>
          <w:color w:val="auto"/>
          <w:sz w:val="20"/>
          <w:szCs w:val="20"/>
        </w:rPr>
        <w:t xml:space="preserve"> to </w:t>
      </w:r>
      <w:proofErr w:type="spellStart"/>
      <w:r w:rsidRPr="004B5D26">
        <w:rPr>
          <w:color w:val="auto"/>
          <w:sz w:val="20"/>
          <w:szCs w:val="20"/>
        </w:rPr>
        <w:t>natural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gas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supply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density</w:t>
      </w:r>
      <w:proofErr w:type="spellEnd"/>
      <w:r w:rsidRPr="004B5D26">
        <w:rPr>
          <w:color w:val="auto"/>
          <w:sz w:val="20"/>
          <w:szCs w:val="20"/>
        </w:rPr>
        <w:t xml:space="preserve"> in 2050 </w:t>
      </w:r>
      <w:proofErr w:type="spellStart"/>
      <w:r w:rsidRPr="004B5D26">
        <w:rPr>
          <w:color w:val="auto"/>
          <w:sz w:val="20"/>
          <w:szCs w:val="20"/>
        </w:rPr>
        <w:t>if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rooftop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photovoltaics</w:t>
      </w:r>
      <w:proofErr w:type="spellEnd"/>
      <w:r w:rsidRPr="004B5D26">
        <w:rPr>
          <w:color w:val="auto"/>
          <w:sz w:val="20"/>
          <w:szCs w:val="20"/>
        </w:rPr>
        <w:t xml:space="preserve"> and </w:t>
      </w:r>
      <w:proofErr w:type="spellStart"/>
      <w:r w:rsidRPr="004B5D26">
        <w:rPr>
          <w:color w:val="auto"/>
          <w:sz w:val="20"/>
          <w:szCs w:val="20"/>
        </w:rPr>
        <w:t>heat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pumps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are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widely</w:t>
      </w:r>
      <w:proofErr w:type="spellEnd"/>
      <w:r w:rsidRPr="004B5D26">
        <w:rPr>
          <w:color w:val="auto"/>
          <w:sz w:val="20"/>
          <w:szCs w:val="20"/>
        </w:rPr>
        <w:t xml:space="preserve"> </w:t>
      </w:r>
      <w:proofErr w:type="spellStart"/>
      <w:r w:rsidRPr="004B5D26">
        <w:rPr>
          <w:color w:val="auto"/>
          <w:sz w:val="20"/>
          <w:szCs w:val="20"/>
        </w:rPr>
        <w:t>adopted</w:t>
      </w:r>
      <w:proofErr w:type="spellEnd"/>
      <w:r w:rsidRPr="004B5D26">
        <w:rPr>
          <w:color w:val="auto"/>
          <w:sz w:val="20"/>
          <w:szCs w:val="20"/>
        </w:rPr>
        <w:t xml:space="preserve"> (own </w:t>
      </w:r>
      <w:proofErr w:type="spellStart"/>
      <w:r w:rsidRPr="004B5D26">
        <w:rPr>
          <w:color w:val="auto"/>
          <w:sz w:val="20"/>
          <w:szCs w:val="20"/>
        </w:rPr>
        <w:t>representation</w:t>
      </w:r>
      <w:proofErr w:type="spellEnd"/>
      <w:r w:rsidRPr="004B5D26">
        <w:rPr>
          <w:color w:val="auto"/>
          <w:sz w:val="20"/>
          <w:szCs w:val="20"/>
        </w:rPr>
        <w:t xml:space="preserve">) </w:t>
      </w:r>
    </w:p>
    <w:p w14:paraId="6229108C" w14:textId="01541892" w:rsidR="00807CAE" w:rsidRDefault="00807CAE" w:rsidP="0027268D">
      <w:pPr>
        <w:pStyle w:val="Ueberschrift"/>
        <w:rPr>
          <w:b w:val="0"/>
          <w:bCs/>
          <w:sz w:val="20"/>
          <w:szCs w:val="22"/>
        </w:rPr>
      </w:pPr>
      <w:r>
        <w:rPr>
          <w:b w:val="0"/>
          <w:bCs/>
          <w:sz w:val="20"/>
          <w:szCs w:val="22"/>
        </w:rPr>
        <w:t xml:space="preserve">In </w:t>
      </w:r>
      <w:proofErr w:type="spellStart"/>
      <w:r>
        <w:rPr>
          <w:b w:val="0"/>
          <w:bCs/>
          <w:sz w:val="20"/>
          <w:szCs w:val="22"/>
        </w:rPr>
        <w:t>addition</w:t>
      </w:r>
      <w:proofErr w:type="spellEnd"/>
      <w:r>
        <w:rPr>
          <w:b w:val="0"/>
          <w:bCs/>
          <w:sz w:val="20"/>
          <w:szCs w:val="22"/>
        </w:rPr>
        <w:t xml:space="preserve"> to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change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of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spatial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characteristics</w:t>
      </w:r>
      <w:proofErr w:type="spellEnd"/>
      <w:r>
        <w:rPr>
          <w:b w:val="0"/>
          <w:bCs/>
          <w:sz w:val="20"/>
          <w:szCs w:val="22"/>
        </w:rPr>
        <w:t xml:space="preserve">,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effects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of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inceasing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feed</w:t>
      </w:r>
      <w:proofErr w:type="spellEnd"/>
      <w:r>
        <w:rPr>
          <w:b w:val="0"/>
          <w:bCs/>
          <w:sz w:val="20"/>
          <w:szCs w:val="22"/>
        </w:rPr>
        <w:t xml:space="preserve">-in </w:t>
      </w:r>
      <w:proofErr w:type="spellStart"/>
      <w:r>
        <w:rPr>
          <w:b w:val="0"/>
          <w:bCs/>
          <w:sz w:val="20"/>
          <w:szCs w:val="22"/>
        </w:rPr>
        <w:t>from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decentralized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generation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systems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can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be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seen</w:t>
      </w:r>
      <w:proofErr w:type="spellEnd"/>
      <w:r>
        <w:rPr>
          <w:b w:val="0"/>
          <w:bCs/>
          <w:sz w:val="20"/>
          <w:szCs w:val="22"/>
        </w:rPr>
        <w:t xml:space="preserve">, </w:t>
      </w:r>
      <w:proofErr w:type="spellStart"/>
      <w:r>
        <w:rPr>
          <w:b w:val="0"/>
          <w:bCs/>
          <w:sz w:val="20"/>
          <w:szCs w:val="22"/>
        </w:rPr>
        <w:t>as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comparison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of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electrical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load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profiles</w:t>
      </w:r>
      <w:proofErr w:type="spellEnd"/>
      <w:r>
        <w:rPr>
          <w:b w:val="0"/>
          <w:bCs/>
          <w:sz w:val="20"/>
          <w:szCs w:val="22"/>
        </w:rPr>
        <w:t xml:space="preserve"> in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same </w:t>
      </w:r>
      <w:proofErr w:type="spellStart"/>
      <w:r>
        <w:rPr>
          <w:b w:val="0"/>
          <w:bCs/>
          <w:sz w:val="20"/>
          <w:szCs w:val="22"/>
        </w:rPr>
        <w:t>scenario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shows</w:t>
      </w:r>
      <w:proofErr w:type="spellEnd"/>
      <w:r>
        <w:rPr>
          <w:b w:val="0"/>
          <w:bCs/>
          <w:sz w:val="20"/>
          <w:szCs w:val="22"/>
        </w:rPr>
        <w:t>.</w:t>
      </w:r>
    </w:p>
    <w:p w14:paraId="60D60CBB" w14:textId="17A76E55" w:rsidR="00A860BE" w:rsidRDefault="00A860BE" w:rsidP="0027268D">
      <w:pPr>
        <w:pStyle w:val="Ueberschrift"/>
        <w:rPr>
          <w:b w:val="0"/>
          <w:bCs/>
          <w:sz w:val="20"/>
          <w:szCs w:val="22"/>
        </w:rPr>
      </w:pPr>
    </w:p>
    <w:p w14:paraId="67D0E711" w14:textId="77777777" w:rsidR="00BB724D" w:rsidRDefault="00BB724D" w:rsidP="00BB724D">
      <w:pPr>
        <w:pStyle w:val="Ueberschrift"/>
        <w:keepNext/>
      </w:pPr>
      <w:r w:rsidRPr="00BB724D">
        <w:rPr>
          <w:b w:val="0"/>
          <w:bCs/>
          <w:noProof/>
          <w:sz w:val="20"/>
          <w:szCs w:val="22"/>
        </w:rPr>
        <w:lastRenderedPageBreak/>
        <w:drawing>
          <wp:inline distT="0" distB="0" distL="0" distR="0" wp14:anchorId="1708C05A" wp14:editId="5498577C">
            <wp:extent cx="5760720" cy="2794000"/>
            <wp:effectExtent l="0" t="0" r="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EC625" w14:textId="396D3856" w:rsidR="00807CAE" w:rsidRPr="00977BBA" w:rsidRDefault="00BB724D" w:rsidP="00BB724D">
      <w:pPr>
        <w:pStyle w:val="Beschriftung"/>
        <w:rPr>
          <w:b/>
          <w:bCs/>
          <w:color w:val="auto"/>
          <w:sz w:val="22"/>
          <w:szCs w:val="24"/>
        </w:rPr>
      </w:pPr>
      <w:r w:rsidRPr="00977BBA">
        <w:rPr>
          <w:color w:val="auto"/>
          <w:sz w:val="20"/>
          <w:szCs w:val="20"/>
        </w:rPr>
        <w:t xml:space="preserve">Figure </w:t>
      </w:r>
      <w:r w:rsidRPr="00977BBA">
        <w:rPr>
          <w:color w:val="auto"/>
          <w:sz w:val="20"/>
          <w:szCs w:val="20"/>
        </w:rPr>
        <w:fldChar w:fldCharType="begin"/>
      </w:r>
      <w:r w:rsidRPr="00977BBA">
        <w:rPr>
          <w:color w:val="auto"/>
          <w:sz w:val="20"/>
          <w:szCs w:val="20"/>
        </w:rPr>
        <w:instrText xml:space="preserve"> SEQ Figure \* ARABIC </w:instrText>
      </w:r>
      <w:r w:rsidRPr="00977BBA">
        <w:rPr>
          <w:color w:val="auto"/>
          <w:sz w:val="20"/>
          <w:szCs w:val="20"/>
        </w:rPr>
        <w:fldChar w:fldCharType="separate"/>
      </w:r>
      <w:r w:rsidR="00B534A6">
        <w:rPr>
          <w:noProof/>
          <w:color w:val="auto"/>
          <w:sz w:val="20"/>
          <w:szCs w:val="20"/>
        </w:rPr>
        <w:t>3</w:t>
      </w:r>
      <w:r w:rsidRPr="00977BBA">
        <w:rPr>
          <w:color w:val="auto"/>
          <w:sz w:val="20"/>
          <w:szCs w:val="20"/>
        </w:rPr>
        <w:fldChar w:fldCharType="end"/>
      </w:r>
      <w:r w:rsidRPr="00977BBA">
        <w:rPr>
          <w:color w:val="auto"/>
          <w:sz w:val="20"/>
          <w:szCs w:val="20"/>
        </w:rPr>
        <w:t xml:space="preserve">: </w:t>
      </w:r>
      <w:proofErr w:type="spellStart"/>
      <w:r w:rsidRPr="00977BBA">
        <w:rPr>
          <w:color w:val="auto"/>
          <w:sz w:val="20"/>
          <w:szCs w:val="20"/>
        </w:rPr>
        <w:t>Comparison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of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the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contemporary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electrical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load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profile</w:t>
      </w:r>
      <w:proofErr w:type="spellEnd"/>
      <w:r w:rsidRPr="00977BBA">
        <w:rPr>
          <w:color w:val="auto"/>
          <w:sz w:val="20"/>
          <w:szCs w:val="20"/>
        </w:rPr>
        <w:t xml:space="preserve"> and</w:t>
      </w:r>
      <w:r w:rsidR="000D32EA" w:rsidRPr="00977BBA">
        <w:rPr>
          <w:color w:val="auto"/>
          <w:sz w:val="20"/>
          <w:szCs w:val="20"/>
        </w:rPr>
        <w:t xml:space="preserve"> </w:t>
      </w:r>
      <w:proofErr w:type="spellStart"/>
      <w:r w:rsidR="000D32EA" w:rsidRPr="00977BBA">
        <w:rPr>
          <w:color w:val="auto"/>
          <w:sz w:val="20"/>
          <w:szCs w:val="20"/>
        </w:rPr>
        <w:t>the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future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sum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profile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for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the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area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of</w:t>
      </w:r>
      <w:proofErr w:type="spellEnd"/>
      <w:r w:rsidRPr="00977BBA">
        <w:rPr>
          <w:color w:val="auto"/>
          <w:sz w:val="20"/>
          <w:szCs w:val="20"/>
        </w:rPr>
        <w:t xml:space="preserve"> </w:t>
      </w:r>
      <w:proofErr w:type="spellStart"/>
      <w:r w:rsidRPr="00977BBA">
        <w:rPr>
          <w:color w:val="auto"/>
          <w:sz w:val="20"/>
          <w:szCs w:val="20"/>
        </w:rPr>
        <w:t>study</w:t>
      </w:r>
      <w:proofErr w:type="spellEnd"/>
      <w:r w:rsidR="004B5D26">
        <w:rPr>
          <w:color w:val="auto"/>
          <w:sz w:val="20"/>
          <w:szCs w:val="20"/>
        </w:rPr>
        <w:t xml:space="preserve"> (own </w:t>
      </w:r>
      <w:proofErr w:type="spellStart"/>
      <w:r w:rsidR="004B5D26">
        <w:rPr>
          <w:color w:val="auto"/>
          <w:sz w:val="20"/>
          <w:szCs w:val="20"/>
        </w:rPr>
        <w:t>representation</w:t>
      </w:r>
      <w:proofErr w:type="spellEnd"/>
      <w:r w:rsidR="004B5D26">
        <w:rPr>
          <w:color w:val="auto"/>
          <w:sz w:val="20"/>
          <w:szCs w:val="20"/>
        </w:rPr>
        <w:t>)</w:t>
      </w:r>
    </w:p>
    <w:p w14:paraId="62489056" w14:textId="00DB914A" w:rsidR="00807CAE" w:rsidRDefault="00807CAE" w:rsidP="0027268D">
      <w:pPr>
        <w:pStyle w:val="Ueberschrift"/>
        <w:rPr>
          <w:b w:val="0"/>
          <w:bCs/>
          <w:sz w:val="20"/>
          <w:szCs w:val="22"/>
        </w:rPr>
      </w:pPr>
      <w:proofErr w:type="spellStart"/>
      <w:r>
        <w:rPr>
          <w:b w:val="0"/>
          <w:bCs/>
          <w:sz w:val="20"/>
          <w:szCs w:val="22"/>
        </w:rPr>
        <w:t>Using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approach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presented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it</w:t>
      </w:r>
      <w:proofErr w:type="spellEnd"/>
      <w:r>
        <w:rPr>
          <w:b w:val="0"/>
          <w:bCs/>
          <w:sz w:val="20"/>
          <w:szCs w:val="22"/>
        </w:rPr>
        <w:t xml:space="preserve"> was possible to </w:t>
      </w:r>
      <w:proofErr w:type="spellStart"/>
      <w:r w:rsidR="0031795D">
        <w:rPr>
          <w:b w:val="0"/>
          <w:bCs/>
          <w:sz w:val="20"/>
          <w:szCs w:val="22"/>
        </w:rPr>
        <w:t>differentiate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between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future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 w:rsidR="0031795D">
        <w:rPr>
          <w:b w:val="0"/>
          <w:bCs/>
          <w:sz w:val="20"/>
          <w:szCs w:val="22"/>
        </w:rPr>
        <w:t>electricity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requirements</w:t>
      </w:r>
      <w:proofErr w:type="spellEnd"/>
      <w:r>
        <w:rPr>
          <w:b w:val="0"/>
          <w:bCs/>
          <w:sz w:val="20"/>
          <w:szCs w:val="22"/>
        </w:rPr>
        <w:t xml:space="preserve"> and </w:t>
      </w:r>
      <w:proofErr w:type="spellStart"/>
      <w:r>
        <w:rPr>
          <w:b w:val="0"/>
          <w:bCs/>
          <w:sz w:val="20"/>
          <w:szCs w:val="22"/>
        </w:rPr>
        <w:t>district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heating</w:t>
      </w:r>
      <w:proofErr w:type="spellEnd"/>
      <w:r>
        <w:rPr>
          <w:b w:val="0"/>
          <w:bCs/>
          <w:sz w:val="20"/>
          <w:szCs w:val="22"/>
        </w:rPr>
        <w:t xml:space="preserve"> and gas </w:t>
      </w:r>
      <w:proofErr w:type="spellStart"/>
      <w:r w:rsidR="00383ACB">
        <w:rPr>
          <w:b w:val="0"/>
          <w:bCs/>
          <w:sz w:val="20"/>
          <w:szCs w:val="22"/>
        </w:rPr>
        <w:t>supply</w:t>
      </w:r>
      <w:proofErr w:type="spellEnd"/>
      <w:r w:rsidR="00383ACB">
        <w:rPr>
          <w:b w:val="0"/>
          <w:bCs/>
          <w:sz w:val="20"/>
          <w:szCs w:val="22"/>
        </w:rPr>
        <w:t xml:space="preserve"> </w:t>
      </w:r>
      <w:proofErr w:type="spellStart"/>
      <w:r w:rsidR="00383ACB">
        <w:rPr>
          <w:b w:val="0"/>
          <w:bCs/>
          <w:sz w:val="20"/>
          <w:szCs w:val="22"/>
        </w:rPr>
        <w:t>density</w:t>
      </w:r>
      <w:proofErr w:type="spellEnd"/>
      <w:r>
        <w:rPr>
          <w:b w:val="0"/>
          <w:bCs/>
          <w:sz w:val="20"/>
          <w:szCs w:val="22"/>
        </w:rPr>
        <w:t xml:space="preserve"> in urban and rural </w:t>
      </w:r>
      <w:proofErr w:type="spellStart"/>
      <w:r>
        <w:rPr>
          <w:b w:val="0"/>
          <w:bCs/>
          <w:sz w:val="20"/>
          <w:szCs w:val="22"/>
        </w:rPr>
        <w:t>areas</w:t>
      </w:r>
      <w:proofErr w:type="spellEnd"/>
      <w:r>
        <w:rPr>
          <w:b w:val="0"/>
          <w:bCs/>
          <w:sz w:val="20"/>
          <w:szCs w:val="22"/>
        </w:rPr>
        <w:t xml:space="preserve">. </w:t>
      </w:r>
      <w:proofErr w:type="spellStart"/>
      <w:r>
        <w:rPr>
          <w:b w:val="0"/>
          <w:bCs/>
          <w:sz w:val="20"/>
          <w:szCs w:val="22"/>
        </w:rPr>
        <w:t>Furthermore</w:t>
      </w:r>
      <w:proofErr w:type="spellEnd"/>
      <w:r>
        <w:rPr>
          <w:b w:val="0"/>
          <w:bCs/>
          <w:sz w:val="20"/>
          <w:szCs w:val="22"/>
        </w:rPr>
        <w:t xml:space="preserve">, </w:t>
      </w:r>
      <w:proofErr w:type="spellStart"/>
      <w:r>
        <w:rPr>
          <w:b w:val="0"/>
          <w:bCs/>
          <w:sz w:val="20"/>
          <w:szCs w:val="22"/>
        </w:rPr>
        <w:t>the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scenarios</w:t>
      </w:r>
      <w:proofErr w:type="spellEnd"/>
      <w:r>
        <w:rPr>
          <w:b w:val="0"/>
          <w:bCs/>
          <w:sz w:val="20"/>
          <w:szCs w:val="22"/>
        </w:rPr>
        <w:t xml:space="preserve"> that </w:t>
      </w:r>
      <w:proofErr w:type="spellStart"/>
      <w:r>
        <w:rPr>
          <w:b w:val="0"/>
          <w:bCs/>
          <w:sz w:val="20"/>
          <w:szCs w:val="22"/>
        </w:rPr>
        <w:t>preferred</w:t>
      </w:r>
      <w:proofErr w:type="spellEnd"/>
      <w:r>
        <w:rPr>
          <w:b w:val="0"/>
          <w:bCs/>
          <w:sz w:val="20"/>
          <w:szCs w:val="22"/>
        </w:rPr>
        <w:t xml:space="preserve"> a </w:t>
      </w:r>
      <w:proofErr w:type="spellStart"/>
      <w:r>
        <w:rPr>
          <w:b w:val="0"/>
          <w:bCs/>
          <w:sz w:val="20"/>
          <w:szCs w:val="22"/>
        </w:rPr>
        <w:t>low</w:t>
      </w:r>
      <w:proofErr w:type="spellEnd"/>
      <w:r>
        <w:rPr>
          <w:b w:val="0"/>
          <w:bCs/>
          <w:sz w:val="20"/>
          <w:szCs w:val="22"/>
        </w:rPr>
        <w:t xml:space="preserve">-emission </w:t>
      </w:r>
      <w:proofErr w:type="spellStart"/>
      <w:r>
        <w:rPr>
          <w:b w:val="0"/>
          <w:bCs/>
          <w:sz w:val="20"/>
          <w:szCs w:val="22"/>
        </w:rPr>
        <w:t>energy</w:t>
      </w:r>
      <w:proofErr w:type="spellEnd"/>
      <w:r>
        <w:rPr>
          <w:b w:val="0"/>
          <w:bCs/>
          <w:sz w:val="20"/>
          <w:szCs w:val="22"/>
        </w:rPr>
        <w:t xml:space="preserve"> </w:t>
      </w:r>
      <w:proofErr w:type="spellStart"/>
      <w:r>
        <w:rPr>
          <w:b w:val="0"/>
          <w:bCs/>
          <w:sz w:val="20"/>
          <w:szCs w:val="22"/>
        </w:rPr>
        <w:t>supply</w:t>
      </w:r>
      <w:proofErr w:type="spellEnd"/>
      <w:r>
        <w:rPr>
          <w:b w:val="0"/>
          <w:bCs/>
          <w:sz w:val="20"/>
          <w:szCs w:val="22"/>
        </w:rPr>
        <w:t xml:space="preserve"> </w:t>
      </w:r>
      <w:r w:rsidR="000E2021">
        <w:rPr>
          <w:b w:val="0"/>
          <w:bCs/>
          <w:sz w:val="20"/>
          <w:szCs w:val="22"/>
        </w:rPr>
        <w:t xml:space="preserve">to </w:t>
      </w:r>
      <w:proofErr w:type="spellStart"/>
      <w:r w:rsidR="000E2021">
        <w:rPr>
          <w:b w:val="0"/>
          <w:bCs/>
          <w:sz w:val="20"/>
          <w:szCs w:val="22"/>
        </w:rPr>
        <w:t>the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area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of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study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always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lead</w:t>
      </w:r>
      <w:proofErr w:type="spellEnd"/>
      <w:r w:rsidR="000E2021">
        <w:rPr>
          <w:b w:val="0"/>
          <w:bCs/>
          <w:sz w:val="20"/>
          <w:szCs w:val="22"/>
        </w:rPr>
        <w:t xml:space="preserve"> to </w:t>
      </w:r>
      <w:proofErr w:type="spellStart"/>
      <w:r w:rsidR="000E2021">
        <w:rPr>
          <w:b w:val="0"/>
          <w:bCs/>
          <w:sz w:val="20"/>
          <w:szCs w:val="22"/>
        </w:rPr>
        <w:t>greatly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increased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electricity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demands</w:t>
      </w:r>
      <w:proofErr w:type="spellEnd"/>
      <w:r w:rsidR="000E2021">
        <w:rPr>
          <w:b w:val="0"/>
          <w:bCs/>
          <w:sz w:val="20"/>
          <w:szCs w:val="22"/>
        </w:rPr>
        <w:t xml:space="preserve"> which could not </w:t>
      </w:r>
      <w:proofErr w:type="spellStart"/>
      <w:r w:rsidR="000E2021">
        <w:rPr>
          <w:b w:val="0"/>
          <w:bCs/>
          <w:sz w:val="20"/>
          <w:szCs w:val="22"/>
        </w:rPr>
        <w:t>be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covered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by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the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existing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rooftop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photovoltaic</w:t>
      </w:r>
      <w:proofErr w:type="spellEnd"/>
      <w:r w:rsidR="000E2021">
        <w:rPr>
          <w:b w:val="0"/>
          <w:bCs/>
          <w:sz w:val="20"/>
          <w:szCs w:val="22"/>
        </w:rPr>
        <w:t xml:space="preserve"> potential. This </w:t>
      </w:r>
      <w:proofErr w:type="spellStart"/>
      <w:r w:rsidR="000E2021">
        <w:rPr>
          <w:b w:val="0"/>
          <w:bCs/>
          <w:sz w:val="20"/>
          <w:szCs w:val="22"/>
        </w:rPr>
        <w:t>increase</w:t>
      </w:r>
      <w:proofErr w:type="spellEnd"/>
      <w:r w:rsidR="000E2021">
        <w:rPr>
          <w:b w:val="0"/>
          <w:bCs/>
          <w:sz w:val="20"/>
          <w:szCs w:val="22"/>
        </w:rPr>
        <w:t xml:space="preserve"> was </w:t>
      </w:r>
      <w:proofErr w:type="spellStart"/>
      <w:r w:rsidR="000E2021">
        <w:rPr>
          <w:b w:val="0"/>
          <w:bCs/>
          <w:sz w:val="20"/>
          <w:szCs w:val="22"/>
        </w:rPr>
        <w:t>mainly</w:t>
      </w:r>
      <w:proofErr w:type="spellEnd"/>
      <w:r w:rsidR="000E2021">
        <w:rPr>
          <w:b w:val="0"/>
          <w:bCs/>
          <w:sz w:val="20"/>
          <w:szCs w:val="22"/>
        </w:rPr>
        <w:t xml:space="preserve"> due to high </w:t>
      </w:r>
      <w:proofErr w:type="spellStart"/>
      <w:r w:rsidR="000E2021">
        <w:rPr>
          <w:b w:val="0"/>
          <w:bCs/>
          <w:sz w:val="20"/>
          <w:szCs w:val="22"/>
        </w:rPr>
        <w:t>usage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of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heat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pumps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as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well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as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electrification</w:t>
      </w:r>
      <w:proofErr w:type="spellEnd"/>
      <w:r w:rsidR="000E2021">
        <w:rPr>
          <w:b w:val="0"/>
          <w:bCs/>
          <w:sz w:val="20"/>
          <w:szCs w:val="22"/>
        </w:rPr>
        <w:t xml:space="preserve"> </w:t>
      </w:r>
      <w:proofErr w:type="spellStart"/>
      <w:r w:rsidR="000E2021">
        <w:rPr>
          <w:b w:val="0"/>
          <w:bCs/>
          <w:sz w:val="20"/>
          <w:szCs w:val="22"/>
        </w:rPr>
        <w:t>of</w:t>
      </w:r>
      <w:proofErr w:type="spellEnd"/>
      <w:r w:rsidR="000E2021">
        <w:rPr>
          <w:b w:val="0"/>
          <w:bCs/>
          <w:sz w:val="20"/>
          <w:szCs w:val="22"/>
        </w:rPr>
        <w:t xml:space="preserve"> individual </w:t>
      </w:r>
      <w:proofErr w:type="spellStart"/>
      <w:r w:rsidR="000E2021">
        <w:rPr>
          <w:b w:val="0"/>
          <w:bCs/>
          <w:sz w:val="20"/>
          <w:szCs w:val="22"/>
        </w:rPr>
        <w:t>transport</w:t>
      </w:r>
      <w:proofErr w:type="spellEnd"/>
      <w:r w:rsidR="000E2021">
        <w:rPr>
          <w:b w:val="0"/>
          <w:bCs/>
          <w:sz w:val="20"/>
          <w:szCs w:val="22"/>
        </w:rPr>
        <w:t>.</w:t>
      </w:r>
    </w:p>
    <w:p w14:paraId="6C2C7E5E" w14:textId="4DE28AAC" w:rsidR="00A860BE" w:rsidRDefault="00A860BE" w:rsidP="0027268D">
      <w:pPr>
        <w:pStyle w:val="Ueberschrift"/>
        <w:rPr>
          <w:b w:val="0"/>
          <w:bCs/>
          <w:sz w:val="20"/>
          <w:szCs w:val="22"/>
        </w:rPr>
      </w:pPr>
    </w:p>
    <w:p w14:paraId="06EECB52" w14:textId="6E37F7ED" w:rsidR="00383ACB" w:rsidRDefault="00383ACB" w:rsidP="0027268D">
      <w:pPr>
        <w:pStyle w:val="Ueberschrift"/>
        <w:rPr>
          <w:b w:val="0"/>
          <w:bCs/>
          <w:sz w:val="20"/>
          <w:szCs w:val="22"/>
        </w:rPr>
      </w:pPr>
    </w:p>
    <w:p w14:paraId="5BC250A0" w14:textId="09CCDB8C" w:rsidR="005E4D4F" w:rsidRDefault="005E4D4F" w:rsidP="00A156E4">
      <w:pPr>
        <w:pStyle w:val="Ueberschrift"/>
      </w:pPr>
      <w:bookmarkStart w:id="3" w:name="_Toc26086066"/>
      <w:bookmarkStart w:id="4" w:name="_Toc68418491"/>
      <w:proofErr w:type="spellStart"/>
      <w:r w:rsidRPr="005E4D4F">
        <w:t>Literatur</w:t>
      </w:r>
      <w:bookmarkEnd w:id="3"/>
      <w:bookmarkEnd w:id="4"/>
      <w:r w:rsidR="00326BDD">
        <w:t>e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500"/>
      </w:tblGrid>
      <w:tr w:rsidR="00863092" w:rsidRPr="00863092" w14:paraId="5DFCFFDC" w14:textId="77777777" w:rsidTr="00EB6187">
        <w:tc>
          <w:tcPr>
            <w:tcW w:w="421" w:type="dxa"/>
          </w:tcPr>
          <w:p w14:paraId="020B2C96" w14:textId="51254997" w:rsidR="00863092" w:rsidRPr="00863092" w:rsidRDefault="00863092" w:rsidP="00A156E4">
            <w:pPr>
              <w:pStyle w:val="Ueberschrift"/>
              <w:rPr>
                <w:b w:val="0"/>
                <w:bCs/>
                <w:sz w:val="20"/>
                <w:szCs w:val="22"/>
              </w:rPr>
            </w:pPr>
            <w:r w:rsidRPr="00863092">
              <w:rPr>
                <w:b w:val="0"/>
                <w:bCs/>
                <w:sz w:val="20"/>
                <w:szCs w:val="22"/>
              </w:rPr>
              <w:t>[1]</w:t>
            </w:r>
          </w:p>
        </w:tc>
        <w:tc>
          <w:tcPr>
            <w:tcW w:w="8500" w:type="dxa"/>
          </w:tcPr>
          <w:p w14:paraId="01BA2A7F" w14:textId="13FF49A6" w:rsidR="00863092" w:rsidRPr="00863092" w:rsidRDefault="00151E8B" w:rsidP="00A156E4">
            <w:pPr>
              <w:pStyle w:val="Ueberschrift"/>
              <w:rPr>
                <w:b w:val="0"/>
                <w:bCs/>
                <w:sz w:val="20"/>
                <w:szCs w:val="22"/>
              </w:rPr>
            </w:pPr>
            <w:r>
              <w:rPr>
                <w:b w:val="0"/>
                <w:bCs/>
                <w:sz w:val="20"/>
                <w:szCs w:val="22"/>
              </w:rPr>
              <w:t xml:space="preserve">Building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footprint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and DEM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data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provided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by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the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Hessian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Adminstration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for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Ground Management and Geo-Information. </w:t>
            </w:r>
            <w:hyperlink r:id="rId11" w:history="1">
              <w:r w:rsidRPr="00BC0F28">
                <w:rPr>
                  <w:rStyle w:val="Hyperlink"/>
                  <w:b w:val="0"/>
                  <w:bCs/>
                  <w:sz w:val="20"/>
                  <w:szCs w:val="22"/>
                </w:rPr>
                <w:t>https://hvbg.hessen.de</w:t>
              </w:r>
            </w:hyperlink>
            <w:r>
              <w:rPr>
                <w:b w:val="0"/>
                <w:bCs/>
                <w:sz w:val="20"/>
                <w:szCs w:val="22"/>
              </w:rPr>
              <w:t>, 2019</w:t>
            </w:r>
          </w:p>
        </w:tc>
      </w:tr>
      <w:tr w:rsidR="00863092" w:rsidRPr="00863092" w14:paraId="59A22AA7" w14:textId="77777777" w:rsidTr="00EB6187">
        <w:tc>
          <w:tcPr>
            <w:tcW w:w="421" w:type="dxa"/>
          </w:tcPr>
          <w:p w14:paraId="1F7490ED" w14:textId="548CAA8B" w:rsidR="00863092" w:rsidRPr="00863092" w:rsidRDefault="00863092" w:rsidP="00A156E4">
            <w:pPr>
              <w:pStyle w:val="Ueberschrift"/>
              <w:rPr>
                <w:b w:val="0"/>
                <w:bCs/>
                <w:sz w:val="20"/>
                <w:szCs w:val="22"/>
              </w:rPr>
            </w:pPr>
            <w:r w:rsidRPr="00863092">
              <w:rPr>
                <w:b w:val="0"/>
                <w:bCs/>
                <w:sz w:val="20"/>
                <w:szCs w:val="22"/>
              </w:rPr>
              <w:t>[2]</w:t>
            </w:r>
          </w:p>
        </w:tc>
        <w:tc>
          <w:tcPr>
            <w:tcW w:w="8500" w:type="dxa"/>
          </w:tcPr>
          <w:p w14:paraId="55E8A8D7" w14:textId="03024621" w:rsidR="00863092" w:rsidRPr="00863092" w:rsidRDefault="00151E8B" w:rsidP="00151E8B">
            <w:pPr>
              <w:pStyle w:val="Ueberschrift"/>
              <w:rPr>
                <w:b w:val="0"/>
                <w:bCs/>
                <w:sz w:val="20"/>
                <w:szCs w:val="22"/>
              </w:rPr>
            </w:pPr>
            <w:r>
              <w:rPr>
                <w:b w:val="0"/>
                <w:bCs/>
                <w:sz w:val="20"/>
                <w:szCs w:val="22"/>
              </w:rPr>
              <w:t xml:space="preserve">Energy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consumption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data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provided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by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Stadtwerke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Giessen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AG (</w:t>
            </w:r>
            <w:hyperlink r:id="rId12" w:history="1">
              <w:r w:rsidRPr="00BC0F28">
                <w:rPr>
                  <w:rStyle w:val="Hyperlink"/>
                  <w:b w:val="0"/>
                  <w:bCs/>
                  <w:sz w:val="20"/>
                  <w:szCs w:val="22"/>
                </w:rPr>
                <w:t>https://www.swg-konzern.de</w:t>
              </w:r>
            </w:hyperlink>
            <w:r>
              <w:rPr>
                <w:b w:val="0"/>
                <w:bCs/>
                <w:sz w:val="20"/>
                <w:szCs w:val="22"/>
              </w:rPr>
              <w:t>) and Mittelhessen Netz GmbH (</w:t>
            </w:r>
            <w:hyperlink r:id="rId13" w:history="1">
              <w:r w:rsidRPr="00BC0F28">
                <w:rPr>
                  <w:rStyle w:val="Hyperlink"/>
                  <w:b w:val="0"/>
                  <w:bCs/>
                  <w:sz w:val="20"/>
                  <w:szCs w:val="22"/>
                </w:rPr>
                <w:t>https://www.mit-n.de</w:t>
              </w:r>
            </w:hyperlink>
            <w:r>
              <w:rPr>
                <w:b w:val="0"/>
                <w:bCs/>
                <w:sz w:val="20"/>
                <w:szCs w:val="22"/>
              </w:rPr>
              <w:t xml:space="preserve">)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as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part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of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the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research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project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Kommun:E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(</w:t>
            </w:r>
            <w:hyperlink r:id="rId14" w:history="1">
              <w:r w:rsidRPr="00BC0F28">
                <w:rPr>
                  <w:rStyle w:val="Hyperlink"/>
                  <w:b w:val="0"/>
                  <w:bCs/>
                  <w:sz w:val="20"/>
                  <w:szCs w:val="22"/>
                </w:rPr>
                <w:t>https://www.thm.de/etem/forschung/projekte/drittmittelprojekte/laufende-projekte/transformation-kommunaler-energieversorgungs-infrastrukuren-unter-dem-einfluss-dem-einfluss-der-deutschen-einergiewende.html</w:t>
              </w:r>
            </w:hyperlink>
            <w:r>
              <w:rPr>
                <w:b w:val="0"/>
                <w:bCs/>
                <w:sz w:val="20"/>
                <w:szCs w:val="22"/>
              </w:rPr>
              <w:t>), 2019</w:t>
            </w:r>
          </w:p>
        </w:tc>
      </w:tr>
      <w:tr w:rsidR="00863092" w:rsidRPr="00863092" w14:paraId="1EEF728A" w14:textId="77777777" w:rsidTr="00EB6187">
        <w:tc>
          <w:tcPr>
            <w:tcW w:w="421" w:type="dxa"/>
          </w:tcPr>
          <w:p w14:paraId="2B899353" w14:textId="357BFF14" w:rsidR="00863092" w:rsidRPr="00863092" w:rsidRDefault="00863092" w:rsidP="00A156E4">
            <w:pPr>
              <w:pStyle w:val="Ueberschrift"/>
              <w:rPr>
                <w:b w:val="0"/>
                <w:bCs/>
                <w:sz w:val="20"/>
                <w:szCs w:val="22"/>
              </w:rPr>
            </w:pPr>
            <w:r w:rsidRPr="00863092">
              <w:rPr>
                <w:b w:val="0"/>
                <w:bCs/>
                <w:sz w:val="20"/>
                <w:szCs w:val="22"/>
              </w:rPr>
              <w:t>[3]</w:t>
            </w:r>
          </w:p>
        </w:tc>
        <w:tc>
          <w:tcPr>
            <w:tcW w:w="8500" w:type="dxa"/>
          </w:tcPr>
          <w:p w14:paraId="57E59E1C" w14:textId="1A351F66" w:rsidR="00863092" w:rsidRPr="00863092" w:rsidRDefault="00151E8B" w:rsidP="00A156E4">
            <w:pPr>
              <w:pStyle w:val="Ueberschrift"/>
              <w:rPr>
                <w:b w:val="0"/>
                <w:bCs/>
                <w:sz w:val="20"/>
                <w:szCs w:val="22"/>
              </w:rPr>
            </w:pPr>
            <w:r>
              <w:rPr>
                <w:b w:val="0"/>
                <w:bCs/>
                <w:sz w:val="20"/>
                <w:szCs w:val="22"/>
              </w:rPr>
              <w:t xml:space="preserve">LiDAR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data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provided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by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the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Hessian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Ministry </w:t>
            </w:r>
            <w:proofErr w:type="spellStart"/>
            <w:r>
              <w:rPr>
                <w:b w:val="0"/>
                <w:bCs/>
                <w:sz w:val="20"/>
                <w:szCs w:val="22"/>
              </w:rPr>
              <w:t>of</w:t>
            </w:r>
            <w:proofErr w:type="spellEnd"/>
            <w:r>
              <w:rPr>
                <w:b w:val="0"/>
                <w:bCs/>
                <w:sz w:val="20"/>
                <w:szCs w:val="22"/>
              </w:rPr>
              <w:t xml:space="preserve"> Economics, Energy, Transport and Housing</w:t>
            </w:r>
            <w:r w:rsidR="002F5913">
              <w:rPr>
                <w:b w:val="0"/>
                <w:bCs/>
                <w:sz w:val="20"/>
                <w:szCs w:val="22"/>
              </w:rPr>
              <w:t xml:space="preserve">. </w:t>
            </w:r>
            <w:hyperlink r:id="rId15" w:history="1">
              <w:r w:rsidR="002F5913" w:rsidRPr="00BC0F28">
                <w:rPr>
                  <w:rStyle w:val="Hyperlink"/>
                  <w:b w:val="0"/>
                  <w:bCs/>
                  <w:sz w:val="20"/>
                  <w:szCs w:val="22"/>
                </w:rPr>
                <w:t>https://www.energieland.hessen.de/solar-kataster</w:t>
              </w:r>
            </w:hyperlink>
            <w:r w:rsidR="002F5913">
              <w:rPr>
                <w:b w:val="0"/>
                <w:bCs/>
                <w:sz w:val="20"/>
                <w:szCs w:val="22"/>
              </w:rPr>
              <w:t>, 2019</w:t>
            </w:r>
          </w:p>
        </w:tc>
      </w:tr>
    </w:tbl>
    <w:p w14:paraId="130F5038" w14:textId="77777777" w:rsidR="00863092" w:rsidRPr="005E4D4F" w:rsidRDefault="00863092" w:rsidP="00A156E4">
      <w:pPr>
        <w:pStyle w:val="Ueberschrift"/>
      </w:pPr>
    </w:p>
    <w:sectPr w:rsidR="00863092" w:rsidRPr="005E4D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3E61E" w14:textId="77777777" w:rsidR="00662525" w:rsidRDefault="00662525">
      <w:r>
        <w:separator/>
      </w:r>
    </w:p>
  </w:endnote>
  <w:endnote w:type="continuationSeparator" w:id="0">
    <w:p w14:paraId="2D4BBEDD" w14:textId="77777777" w:rsidR="00662525" w:rsidRDefault="0066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F9F08" w14:textId="77777777" w:rsidR="00662525" w:rsidRDefault="00662525">
      <w:r>
        <w:separator/>
      </w:r>
    </w:p>
  </w:footnote>
  <w:footnote w:type="continuationSeparator" w:id="0">
    <w:p w14:paraId="046EEAB7" w14:textId="77777777" w:rsidR="00662525" w:rsidRDefault="00662525">
      <w:r>
        <w:continuationSeparator/>
      </w:r>
    </w:p>
  </w:footnote>
  <w:footnote w:id="1">
    <w:p w14:paraId="2A148EDC" w14:textId="5D40B973" w:rsidR="00D53E86" w:rsidRPr="00FB69AE" w:rsidRDefault="00D53E86" w:rsidP="00D4550F">
      <w:pPr>
        <w:jc w:val="left"/>
      </w:pPr>
      <w:r w:rsidRPr="00A115D2">
        <w:rPr>
          <w:rStyle w:val="Funotenzeichen"/>
        </w:rPr>
        <w:footnoteRef/>
      </w:r>
      <w:r w:rsidRPr="00D53E86">
        <w:t xml:space="preserve"> </w:t>
      </w:r>
      <w:r w:rsidR="00D4550F">
        <w:t>Wiesenstraße 14, 35390 Gießen</w:t>
      </w:r>
      <w:r w:rsidR="00E520E6">
        <w:t xml:space="preserve">, </w:t>
      </w:r>
      <w:r w:rsidR="00D4550F">
        <w:t>+49 641 309 2189</w:t>
      </w:r>
      <w:r w:rsidR="00A6148D">
        <w:t>,</w:t>
      </w:r>
      <w:r w:rsidR="00FD5D56">
        <w:t xml:space="preserve"> </w:t>
      </w:r>
      <w:r w:rsidR="00D4550F">
        <w:t>hannes.koch@me.thm.de</w:t>
      </w:r>
      <w:r>
        <w:t xml:space="preserve">, </w:t>
      </w:r>
      <w:hyperlink r:id="rId1" w:history="1">
        <w:r w:rsidR="00D4550F" w:rsidRPr="008004D6">
          <w:rPr>
            <w:rStyle w:val="Hyperlink"/>
          </w:rPr>
          <w:t>https://www.thm.de/me/hannes-koch</w:t>
        </w:r>
      </w:hyperlink>
    </w:p>
  </w:footnote>
  <w:footnote w:id="2">
    <w:p w14:paraId="5F61BA8F" w14:textId="41069130" w:rsidR="00DB0486" w:rsidRDefault="00DB0486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E534E">
        <w:t xml:space="preserve">The </w:t>
      </w:r>
      <w:proofErr w:type="spellStart"/>
      <w:r w:rsidR="00CE534E">
        <w:t>area</w:t>
      </w:r>
      <w:proofErr w:type="spellEnd"/>
      <w:r w:rsidR="00CE534E">
        <w:t xml:space="preserve"> </w:t>
      </w:r>
      <w:proofErr w:type="spellStart"/>
      <w:r w:rsidR="00CE534E">
        <w:t>around</w:t>
      </w:r>
      <w:proofErr w:type="spellEnd"/>
      <w:r w:rsidR="00CE534E">
        <w:t xml:space="preserve"> </w:t>
      </w:r>
      <w:proofErr w:type="spellStart"/>
      <w:r w:rsidR="00CE534E">
        <w:t>the</w:t>
      </w:r>
      <w:proofErr w:type="spellEnd"/>
      <w:r w:rsidR="00CE534E">
        <w:t xml:space="preserve"> </w:t>
      </w:r>
      <w:proofErr w:type="spellStart"/>
      <w:r w:rsidR="00CE534E">
        <w:t>city</w:t>
      </w:r>
      <w:proofErr w:type="spellEnd"/>
      <w:r w:rsidR="00CE534E">
        <w:t xml:space="preserve"> </w:t>
      </w:r>
      <w:proofErr w:type="spellStart"/>
      <w:r w:rsidR="00CE534E">
        <w:t>of</w:t>
      </w:r>
      <w:proofErr w:type="spellEnd"/>
      <w:r w:rsidR="00CE534E">
        <w:t xml:space="preserve"> Gießen, Germany.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B2751"/>
    <w:multiLevelType w:val="hybridMultilevel"/>
    <w:tmpl w:val="82E4FCC0"/>
    <w:lvl w:ilvl="0" w:tplc="618CB1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C4209"/>
    <w:multiLevelType w:val="hybridMultilevel"/>
    <w:tmpl w:val="381609F4"/>
    <w:lvl w:ilvl="0" w:tplc="99B64F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5967"/>
    <w:multiLevelType w:val="multilevel"/>
    <w:tmpl w:val="0978BA90"/>
    <w:numStyleLink w:val="Aufzhlung"/>
  </w:abstractNum>
  <w:abstractNum w:abstractNumId="5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021CCC"/>
    <w:rsid w:val="000C2F36"/>
    <w:rsid w:val="000D32EA"/>
    <w:rsid w:val="000E2021"/>
    <w:rsid w:val="00151E8B"/>
    <w:rsid w:val="001B147E"/>
    <w:rsid w:val="001C60A2"/>
    <w:rsid w:val="001D7FFE"/>
    <w:rsid w:val="002014D3"/>
    <w:rsid w:val="00214714"/>
    <w:rsid w:val="00215A45"/>
    <w:rsid w:val="00227125"/>
    <w:rsid w:val="00262FD5"/>
    <w:rsid w:val="0027268D"/>
    <w:rsid w:val="00281042"/>
    <w:rsid w:val="002946B8"/>
    <w:rsid w:val="002B1549"/>
    <w:rsid w:val="002E3C75"/>
    <w:rsid w:val="002F5913"/>
    <w:rsid w:val="0031795D"/>
    <w:rsid w:val="00326BDD"/>
    <w:rsid w:val="00350F98"/>
    <w:rsid w:val="00372E07"/>
    <w:rsid w:val="00383ACB"/>
    <w:rsid w:val="003B0FA0"/>
    <w:rsid w:val="003B676F"/>
    <w:rsid w:val="003C0A25"/>
    <w:rsid w:val="003C28FE"/>
    <w:rsid w:val="003D089C"/>
    <w:rsid w:val="003D6D98"/>
    <w:rsid w:val="00461484"/>
    <w:rsid w:val="00483B87"/>
    <w:rsid w:val="004A06F0"/>
    <w:rsid w:val="004B5D26"/>
    <w:rsid w:val="004D293C"/>
    <w:rsid w:val="005B1ADB"/>
    <w:rsid w:val="005E4D4F"/>
    <w:rsid w:val="0063204E"/>
    <w:rsid w:val="00662525"/>
    <w:rsid w:val="00697F3C"/>
    <w:rsid w:val="006B07E0"/>
    <w:rsid w:val="006C4074"/>
    <w:rsid w:val="007378C8"/>
    <w:rsid w:val="00741EC0"/>
    <w:rsid w:val="00785621"/>
    <w:rsid w:val="00803917"/>
    <w:rsid w:val="00806EF1"/>
    <w:rsid w:val="00807CAE"/>
    <w:rsid w:val="00863092"/>
    <w:rsid w:val="00873C48"/>
    <w:rsid w:val="008B079A"/>
    <w:rsid w:val="00934DD6"/>
    <w:rsid w:val="00977BBA"/>
    <w:rsid w:val="00993F71"/>
    <w:rsid w:val="00997DB6"/>
    <w:rsid w:val="00A07737"/>
    <w:rsid w:val="00A156E4"/>
    <w:rsid w:val="00A6148D"/>
    <w:rsid w:val="00A72BEF"/>
    <w:rsid w:val="00A860BE"/>
    <w:rsid w:val="00A92B9E"/>
    <w:rsid w:val="00AA5F58"/>
    <w:rsid w:val="00B201B6"/>
    <w:rsid w:val="00B534A6"/>
    <w:rsid w:val="00B54837"/>
    <w:rsid w:val="00B572BF"/>
    <w:rsid w:val="00BB724D"/>
    <w:rsid w:val="00BF05FA"/>
    <w:rsid w:val="00C7559B"/>
    <w:rsid w:val="00CE1A70"/>
    <w:rsid w:val="00CE534E"/>
    <w:rsid w:val="00D164F7"/>
    <w:rsid w:val="00D33AB8"/>
    <w:rsid w:val="00D4550F"/>
    <w:rsid w:val="00D4757A"/>
    <w:rsid w:val="00D53E86"/>
    <w:rsid w:val="00D736F8"/>
    <w:rsid w:val="00DB0486"/>
    <w:rsid w:val="00DB3FE2"/>
    <w:rsid w:val="00E04E98"/>
    <w:rsid w:val="00E520E6"/>
    <w:rsid w:val="00E75AAE"/>
    <w:rsid w:val="00EB6187"/>
    <w:rsid w:val="00EE4504"/>
    <w:rsid w:val="00EF07E5"/>
    <w:rsid w:val="00F57A87"/>
    <w:rsid w:val="00FA1A34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14561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D4550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550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C2F36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DB0486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B0486"/>
    <w:rPr>
      <w:rFonts w:ascii="Arial" w:hAnsi="Arial"/>
      <w:lang w:eastAsia="ko-KR"/>
    </w:rPr>
  </w:style>
  <w:style w:type="paragraph" w:styleId="Beschriftung">
    <w:name w:val="caption"/>
    <w:basedOn w:val="Standard"/>
    <w:next w:val="Standard"/>
    <w:uiPriority w:val="35"/>
    <w:unhideWhenUsed/>
    <w:qFormat/>
    <w:rsid w:val="00BB724D"/>
    <w:pPr>
      <w:spacing w:after="200"/>
    </w:pPr>
    <w:rPr>
      <w:i/>
      <w:iCs/>
      <w:color w:val="44546A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863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it-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wg-konzer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vbg.hesse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nergieland.hessen.de/solar-kataster" TargetMode="Externa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thm.de/etem/forschung/projekte/drittmittelprojekte/laufende-projekte/transformation-kommunaler-energieversorgungs-infrastrukuren-unter-dem-einfluss-dem-einfluss-der-deutschen-einergiewende.htm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m.de/me/hannes-ko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92D90-6538-467B-A0EF-6DB2841A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Hannes Koch</cp:lastModifiedBy>
  <cp:revision>33</cp:revision>
  <cp:lastPrinted>2021-05-30T12:17:00Z</cp:lastPrinted>
  <dcterms:created xsi:type="dcterms:W3CDTF">2021-05-28T08:40:00Z</dcterms:created>
  <dcterms:modified xsi:type="dcterms:W3CDTF">2021-05-31T12:13:00Z</dcterms:modified>
</cp:coreProperties>
</file>