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9429C7" w14:textId="04CD4146" w:rsidR="001E7824" w:rsidRPr="003D053C" w:rsidRDefault="00340678" w:rsidP="001E7824">
      <w:pPr>
        <w:pStyle w:val="Abstract-Titel"/>
        <w:rPr>
          <w:lang w:val="en-GB"/>
        </w:rPr>
      </w:pPr>
      <w:r>
        <w:rPr>
          <w:lang w:val="en-GB"/>
        </w:rPr>
        <w:t>Derivation of future</w:t>
      </w:r>
      <w:r w:rsidR="001E7824" w:rsidRPr="003D053C">
        <w:rPr>
          <w:lang w:val="en-GB"/>
        </w:rPr>
        <w:t xml:space="preserve"> </w:t>
      </w:r>
      <w:r w:rsidR="002A19C2">
        <w:rPr>
          <w:lang w:val="en-GB"/>
        </w:rPr>
        <w:t>i</w:t>
      </w:r>
      <w:r w:rsidR="001E7824" w:rsidRPr="003D053C">
        <w:rPr>
          <w:lang w:val="en-GB"/>
        </w:rPr>
        <w:t xml:space="preserve">ntraday price series </w:t>
      </w:r>
      <w:r>
        <w:rPr>
          <w:lang w:val="en-GB"/>
        </w:rPr>
        <w:t>from</w:t>
      </w:r>
      <w:r w:rsidR="002A19C2">
        <w:rPr>
          <w:lang w:val="en-GB"/>
        </w:rPr>
        <w:t xml:space="preserve"> the output</w:t>
      </w:r>
      <w:r w:rsidR="0049457A">
        <w:rPr>
          <w:lang w:val="en-GB"/>
        </w:rPr>
        <w:t xml:space="preserve">s </w:t>
      </w:r>
      <w:r w:rsidR="002A19C2">
        <w:rPr>
          <w:lang w:val="en-GB"/>
        </w:rPr>
        <w:t xml:space="preserve">of </w:t>
      </w:r>
      <w:r w:rsidR="001E7824" w:rsidRPr="003D053C">
        <w:rPr>
          <w:lang w:val="en-GB"/>
        </w:rPr>
        <w:t>energy system model</w:t>
      </w:r>
      <w:r w:rsidR="0049457A">
        <w:rPr>
          <w:lang w:val="en-GB"/>
        </w:rPr>
        <w:t>ling</w:t>
      </w:r>
    </w:p>
    <w:p w14:paraId="7D8F0A5B" w14:textId="5B1D69E8" w:rsidR="00BF05FA" w:rsidRPr="004D320E" w:rsidRDefault="00F12CC3" w:rsidP="00A156E4">
      <w:pPr>
        <w:pStyle w:val="AutorenOrganisation"/>
        <w:rPr>
          <w:lang w:val="de-DE"/>
        </w:rPr>
      </w:pPr>
      <w:r w:rsidRPr="0593365D">
        <w:rPr>
          <w:lang w:val="en-GB"/>
        </w:rPr>
        <w:t xml:space="preserve">(3) </w:t>
      </w:r>
      <w:r w:rsidRPr="004D320E">
        <w:rPr>
          <w:lang w:val="de-DE"/>
        </w:rPr>
        <w:t>Integrierte Netze der Zukunft</w:t>
      </w:r>
    </w:p>
    <w:p w14:paraId="00677E0E" w14:textId="21ED91A5" w:rsidR="006E794A" w:rsidRPr="004D320E" w:rsidRDefault="432A6541" w:rsidP="006E794A">
      <w:pPr>
        <w:pStyle w:val="AutorenOrganisation"/>
        <w:rPr>
          <w:lang w:val="de-DE"/>
        </w:rPr>
      </w:pPr>
      <w:r w:rsidRPr="004D320E">
        <w:rPr>
          <w:lang w:val="de-DE"/>
        </w:rPr>
        <w:t>Ryan</w:t>
      </w:r>
      <w:r w:rsidR="006E794A" w:rsidRPr="004D320E">
        <w:rPr>
          <w:lang w:val="de-DE"/>
        </w:rPr>
        <w:t xml:space="preserve"> </w:t>
      </w:r>
      <w:r w:rsidR="0BBD1D35" w:rsidRPr="004D320E">
        <w:rPr>
          <w:lang w:val="de-DE"/>
        </w:rPr>
        <w:t>HARPER</w:t>
      </w:r>
      <w:r w:rsidR="006E794A" w:rsidRPr="003D053C">
        <w:rPr>
          <w:vertAlign w:val="superscript"/>
          <w:lang w:val="en-GB"/>
        </w:rPr>
        <w:footnoteReference w:id="2"/>
      </w:r>
      <w:r w:rsidR="006E794A" w:rsidRPr="004D320E">
        <w:rPr>
          <w:vertAlign w:val="superscript"/>
          <w:lang w:val="de-DE"/>
        </w:rPr>
        <w:t>(1)</w:t>
      </w:r>
      <w:r w:rsidR="006E794A" w:rsidRPr="004D320E">
        <w:rPr>
          <w:lang w:val="de-DE"/>
        </w:rPr>
        <w:t xml:space="preserve">, </w:t>
      </w:r>
      <w:r w:rsidR="518FD062" w:rsidRPr="004D320E">
        <w:rPr>
          <w:lang w:val="de-DE"/>
        </w:rPr>
        <w:t>Timo</w:t>
      </w:r>
      <w:r w:rsidR="006E794A" w:rsidRPr="004D320E">
        <w:rPr>
          <w:lang w:val="de-DE"/>
        </w:rPr>
        <w:t xml:space="preserve"> </w:t>
      </w:r>
      <w:r w:rsidR="32FBC57D" w:rsidRPr="004D320E">
        <w:rPr>
          <w:lang w:val="de-DE"/>
        </w:rPr>
        <w:t>KERN</w:t>
      </w:r>
      <w:r w:rsidR="006E794A" w:rsidRPr="004D320E">
        <w:rPr>
          <w:vertAlign w:val="superscript"/>
          <w:lang w:val="de-DE"/>
        </w:rPr>
        <w:t>(</w:t>
      </w:r>
      <w:r w:rsidR="009C4C03" w:rsidRPr="004D320E">
        <w:rPr>
          <w:vertAlign w:val="superscript"/>
          <w:lang w:val="de-DE"/>
        </w:rPr>
        <w:t>1</w:t>
      </w:r>
      <w:r w:rsidR="006E794A" w:rsidRPr="004D320E">
        <w:rPr>
          <w:vertAlign w:val="superscript"/>
          <w:lang w:val="de-DE"/>
        </w:rPr>
        <w:t>)</w:t>
      </w:r>
      <w:r w:rsidR="00A34658" w:rsidRPr="004D320E">
        <w:rPr>
          <w:vertAlign w:val="superscript"/>
          <w:lang w:val="de-DE"/>
        </w:rPr>
        <w:t xml:space="preserve">, </w:t>
      </w:r>
      <w:r w:rsidR="00A34658" w:rsidRPr="004D320E">
        <w:rPr>
          <w:lang w:val="de-DE"/>
        </w:rPr>
        <w:t xml:space="preserve">Serafin </w:t>
      </w:r>
      <w:r w:rsidR="00A34658">
        <w:rPr>
          <w:lang w:val="de-DE"/>
        </w:rPr>
        <w:t>VON ROON</w:t>
      </w:r>
      <w:r w:rsidR="00A34658">
        <w:rPr>
          <w:vertAlign w:val="superscript"/>
          <w:lang w:val="de-DE"/>
        </w:rPr>
        <w:t>(1)</w:t>
      </w:r>
    </w:p>
    <w:p w14:paraId="0F89D75D" w14:textId="46143847" w:rsidR="005E4D4F" w:rsidRPr="003D053C" w:rsidRDefault="00A156E4" w:rsidP="005E4D4F">
      <w:pPr>
        <w:pStyle w:val="AutorenOrganisation"/>
        <w:rPr>
          <w:lang w:val="en-GB"/>
        </w:rPr>
      </w:pPr>
      <w:r w:rsidRPr="003D053C">
        <w:rPr>
          <w:vertAlign w:val="superscript"/>
          <w:lang w:val="en-GB"/>
        </w:rPr>
        <w:t>(</w:t>
      </w:r>
      <w:r w:rsidR="00010E92" w:rsidRPr="003D053C">
        <w:rPr>
          <w:vertAlign w:val="superscript"/>
          <w:lang w:val="en-GB"/>
        </w:rPr>
        <w:t>1</w:t>
      </w:r>
      <w:r w:rsidRPr="003D053C">
        <w:rPr>
          <w:vertAlign w:val="superscript"/>
          <w:lang w:val="en-GB"/>
        </w:rPr>
        <w:t>)</w:t>
      </w:r>
      <w:r w:rsidR="00540ACB" w:rsidRPr="003D053C">
        <w:rPr>
          <w:lang w:val="en-GB"/>
        </w:rPr>
        <w:t>FfE München</w:t>
      </w:r>
    </w:p>
    <w:p w14:paraId="3617C30F" w14:textId="77777777" w:rsidR="00A07737" w:rsidRPr="003D053C" w:rsidRDefault="00A07737" w:rsidP="00FB69AE">
      <w:pPr>
        <w:rPr>
          <w:lang w:val="en-GB"/>
        </w:rPr>
      </w:pPr>
    </w:p>
    <w:p w14:paraId="48A2D9BC" w14:textId="533E45D5" w:rsidR="005E4D4F" w:rsidRPr="003D053C" w:rsidRDefault="005E4D4F" w:rsidP="005E4D4F">
      <w:pPr>
        <w:pStyle w:val="Ueberschrift"/>
        <w:rPr>
          <w:lang w:val="en-GB"/>
        </w:rPr>
      </w:pPr>
      <w:r w:rsidRPr="003D053C">
        <w:rPr>
          <w:lang w:val="en-GB"/>
        </w:rPr>
        <w:t>Motivation</w:t>
      </w:r>
    </w:p>
    <w:p w14:paraId="40BA16AD" w14:textId="5F705A20" w:rsidR="005E4D4F" w:rsidRPr="003D053C" w:rsidRDefault="00747E71" w:rsidP="00227125">
      <w:pPr>
        <w:rPr>
          <w:lang w:val="en-GB"/>
        </w:rPr>
      </w:pPr>
      <w:r w:rsidRPr="0593365D">
        <w:rPr>
          <w:lang w:val="en-GB"/>
        </w:rPr>
        <w:t>As the</w:t>
      </w:r>
      <w:r w:rsidR="001924DD" w:rsidRPr="0593365D">
        <w:rPr>
          <w:lang w:val="en-GB"/>
        </w:rPr>
        <w:t xml:space="preserve"> German energy system continues to </w:t>
      </w:r>
      <w:r w:rsidR="00154FAD" w:rsidRPr="0593365D">
        <w:rPr>
          <w:lang w:val="en-GB"/>
        </w:rPr>
        <w:t xml:space="preserve">be transformed </w:t>
      </w:r>
      <w:r w:rsidR="003C2B30" w:rsidRPr="0593365D">
        <w:rPr>
          <w:lang w:val="en-GB"/>
        </w:rPr>
        <w:t>over</w:t>
      </w:r>
      <w:r w:rsidR="00142935" w:rsidRPr="0593365D">
        <w:rPr>
          <w:lang w:val="en-GB"/>
        </w:rPr>
        <w:t xml:space="preserve"> the </w:t>
      </w:r>
      <w:r w:rsidR="003C2B30" w:rsidRPr="0593365D">
        <w:rPr>
          <w:lang w:val="en-GB"/>
        </w:rPr>
        <w:t>course</w:t>
      </w:r>
      <w:r w:rsidR="00142935" w:rsidRPr="0593365D">
        <w:rPr>
          <w:lang w:val="en-GB"/>
        </w:rPr>
        <w:t xml:space="preserve"> of the Energiewende, </w:t>
      </w:r>
      <w:r w:rsidR="00DF2882" w:rsidRPr="0593365D">
        <w:rPr>
          <w:lang w:val="en-GB"/>
        </w:rPr>
        <w:t>the</w:t>
      </w:r>
      <w:r w:rsidR="00142935" w:rsidRPr="0593365D">
        <w:rPr>
          <w:lang w:val="en-GB"/>
        </w:rPr>
        <w:t xml:space="preserve"> share</w:t>
      </w:r>
      <w:r w:rsidR="00E8013D" w:rsidRPr="0593365D">
        <w:rPr>
          <w:lang w:val="en-GB"/>
        </w:rPr>
        <w:t xml:space="preserve"> of</w:t>
      </w:r>
      <w:r w:rsidR="00DF2882" w:rsidRPr="0593365D">
        <w:rPr>
          <w:lang w:val="en-GB"/>
        </w:rPr>
        <w:t xml:space="preserve"> electricity generated by volatile renewable s</w:t>
      </w:r>
      <w:r w:rsidR="00E8013D" w:rsidRPr="0593365D">
        <w:rPr>
          <w:lang w:val="en-GB"/>
        </w:rPr>
        <w:t xml:space="preserve">ources </w:t>
      </w:r>
      <w:r w:rsidR="00A8584E" w:rsidRPr="0593365D">
        <w:rPr>
          <w:lang w:val="en-GB"/>
        </w:rPr>
        <w:t>will</w:t>
      </w:r>
      <w:r w:rsidR="00946554" w:rsidRPr="0593365D">
        <w:rPr>
          <w:lang w:val="en-GB"/>
        </w:rPr>
        <w:t xml:space="preserve"> also</w:t>
      </w:r>
      <w:r w:rsidR="00A8584E" w:rsidRPr="0593365D">
        <w:rPr>
          <w:lang w:val="en-GB"/>
        </w:rPr>
        <w:t xml:space="preserve"> continue to rise. </w:t>
      </w:r>
      <w:r w:rsidR="00DD37C7" w:rsidRPr="0593365D">
        <w:rPr>
          <w:lang w:val="en-GB"/>
        </w:rPr>
        <w:t xml:space="preserve">In turn, this will </w:t>
      </w:r>
      <w:r w:rsidR="00093756" w:rsidRPr="0593365D">
        <w:rPr>
          <w:lang w:val="en-GB"/>
        </w:rPr>
        <w:t>result in increasing</w:t>
      </w:r>
      <w:r w:rsidR="00925119" w:rsidRPr="0593365D">
        <w:rPr>
          <w:lang w:val="en-GB"/>
        </w:rPr>
        <w:t xml:space="preserve"> importance of, and trading on</w:t>
      </w:r>
      <w:r w:rsidR="00C41101" w:rsidRPr="0593365D">
        <w:rPr>
          <w:lang w:val="en-GB"/>
        </w:rPr>
        <w:t>,</w:t>
      </w:r>
      <w:r w:rsidR="00925119" w:rsidRPr="0593365D">
        <w:rPr>
          <w:lang w:val="en-GB"/>
        </w:rPr>
        <w:t xml:space="preserve"> the </w:t>
      </w:r>
      <w:r w:rsidR="00C41101" w:rsidRPr="0593365D">
        <w:rPr>
          <w:lang w:val="en-GB"/>
        </w:rPr>
        <w:t>intraday market</w:t>
      </w:r>
      <w:r w:rsidR="00F17C04">
        <w:rPr>
          <w:lang w:val="en-GB"/>
        </w:rPr>
        <w:t xml:space="preserve"> [1]</w:t>
      </w:r>
      <w:r w:rsidR="00C41101" w:rsidRPr="0593365D">
        <w:rPr>
          <w:lang w:val="en-GB"/>
        </w:rPr>
        <w:t xml:space="preserve">. </w:t>
      </w:r>
      <w:r w:rsidR="002D4F28" w:rsidRPr="0593365D">
        <w:rPr>
          <w:lang w:val="en-GB"/>
        </w:rPr>
        <w:t>The volume of electricity traded on th</w:t>
      </w:r>
      <w:r w:rsidR="00946554" w:rsidRPr="0593365D">
        <w:rPr>
          <w:lang w:val="en-GB"/>
        </w:rPr>
        <w:t>is</w:t>
      </w:r>
      <w:r w:rsidR="002D4F28" w:rsidRPr="0593365D">
        <w:rPr>
          <w:lang w:val="en-GB"/>
        </w:rPr>
        <w:t xml:space="preserve"> market</w:t>
      </w:r>
      <w:r w:rsidR="00545224" w:rsidRPr="0593365D">
        <w:rPr>
          <w:lang w:val="en-GB"/>
        </w:rPr>
        <w:t xml:space="preserve"> has already increased by 300 % between 20</w:t>
      </w:r>
      <w:r w:rsidR="00324A35" w:rsidRPr="0593365D">
        <w:rPr>
          <w:lang w:val="en-GB"/>
        </w:rPr>
        <w:t>12</w:t>
      </w:r>
      <w:r w:rsidR="00545224" w:rsidRPr="0593365D">
        <w:rPr>
          <w:lang w:val="en-GB"/>
        </w:rPr>
        <w:t xml:space="preserve"> and 2018 </w:t>
      </w:r>
      <w:r w:rsidR="0076048A" w:rsidRPr="0076048A">
        <w:rPr>
          <w:lang w:val="en-GB"/>
        </w:rPr>
        <w:t>[</w:t>
      </w:r>
      <w:r w:rsidR="00F17C04">
        <w:rPr>
          <w:lang w:val="en-GB"/>
        </w:rPr>
        <w:t>2</w:t>
      </w:r>
      <w:r w:rsidR="0076048A" w:rsidRPr="0076048A">
        <w:rPr>
          <w:lang w:val="en-GB"/>
        </w:rPr>
        <w:t>]</w:t>
      </w:r>
      <w:r w:rsidR="00545224" w:rsidRPr="0593365D">
        <w:rPr>
          <w:lang w:val="en-GB"/>
        </w:rPr>
        <w:t>.</w:t>
      </w:r>
      <w:r w:rsidR="004C62EE" w:rsidRPr="0593365D">
        <w:rPr>
          <w:lang w:val="en-GB"/>
        </w:rPr>
        <w:t xml:space="preserve"> Beyond its importance for </w:t>
      </w:r>
      <w:r w:rsidR="00A11123" w:rsidRPr="0593365D">
        <w:rPr>
          <w:lang w:val="en-GB"/>
        </w:rPr>
        <w:t>correcting generation and load imbalances</w:t>
      </w:r>
      <w:r w:rsidR="00696F23" w:rsidRPr="0593365D">
        <w:rPr>
          <w:lang w:val="en-GB"/>
        </w:rPr>
        <w:t xml:space="preserve">, intraday trading also offers </w:t>
      </w:r>
      <w:r w:rsidR="00A11123" w:rsidRPr="0593365D">
        <w:rPr>
          <w:lang w:val="en-GB"/>
        </w:rPr>
        <w:t>opportunities</w:t>
      </w:r>
      <w:r w:rsidR="00731655" w:rsidRPr="0593365D">
        <w:rPr>
          <w:lang w:val="en-GB"/>
        </w:rPr>
        <w:t xml:space="preserve"> for arbitrage, allowing traders or operators of flexible </w:t>
      </w:r>
      <w:r w:rsidR="00DC7BB9" w:rsidRPr="0593365D">
        <w:rPr>
          <w:lang w:val="en-GB"/>
        </w:rPr>
        <w:t>devices</w:t>
      </w:r>
      <w:r w:rsidR="00A11123" w:rsidRPr="0593365D">
        <w:rPr>
          <w:lang w:val="en-GB"/>
        </w:rPr>
        <w:t xml:space="preserve"> </w:t>
      </w:r>
      <w:r w:rsidR="00D601B4" w:rsidRPr="0593365D">
        <w:rPr>
          <w:lang w:val="en-GB"/>
        </w:rPr>
        <w:t>to profit</w:t>
      </w:r>
      <w:r w:rsidR="00CA40CF" w:rsidRPr="0593365D">
        <w:rPr>
          <w:lang w:val="en-GB"/>
        </w:rPr>
        <w:t xml:space="preserve"> from price differences</w:t>
      </w:r>
      <w:r w:rsidR="00A11123" w:rsidRPr="0593365D">
        <w:rPr>
          <w:lang w:val="en-GB"/>
        </w:rPr>
        <w:t xml:space="preserve"> </w:t>
      </w:r>
      <w:r w:rsidR="00DC7BB9" w:rsidRPr="0593365D">
        <w:rPr>
          <w:lang w:val="en-GB"/>
        </w:rPr>
        <w:t>that may emerge between the day-ahead and intraday markets</w:t>
      </w:r>
      <w:r w:rsidR="00936B52">
        <w:rPr>
          <w:lang w:val="en-GB"/>
        </w:rPr>
        <w:t xml:space="preserve"> or between the intraday auction and continuous trading</w:t>
      </w:r>
      <w:r w:rsidR="00017B21" w:rsidRPr="0593365D">
        <w:rPr>
          <w:lang w:val="en-GB"/>
        </w:rPr>
        <w:t xml:space="preserve"> </w:t>
      </w:r>
      <w:r w:rsidR="0076048A">
        <w:rPr>
          <w:lang w:val="en-GB"/>
        </w:rPr>
        <w:t>[</w:t>
      </w:r>
      <w:r w:rsidR="00543035">
        <w:rPr>
          <w:lang w:val="en-GB"/>
        </w:rPr>
        <w:t>3</w:t>
      </w:r>
      <w:r w:rsidR="0076048A">
        <w:rPr>
          <w:lang w:val="en-GB"/>
        </w:rPr>
        <w:t>]</w:t>
      </w:r>
      <w:r w:rsidR="006814FB">
        <w:rPr>
          <w:lang w:val="en-GB"/>
        </w:rPr>
        <w:t xml:space="preserve"> </w:t>
      </w:r>
      <w:r w:rsidR="006814FB" w:rsidRPr="006814FB">
        <w:rPr>
          <w:lang w:val="en-GB"/>
        </w:rPr>
        <w:t>[</w:t>
      </w:r>
      <w:r w:rsidR="00543035">
        <w:rPr>
          <w:lang w:val="en-GB"/>
        </w:rPr>
        <w:t>4</w:t>
      </w:r>
      <w:r w:rsidR="006814FB" w:rsidRPr="006814FB">
        <w:rPr>
          <w:lang w:val="en-GB"/>
        </w:rPr>
        <w:t>]</w:t>
      </w:r>
      <w:r w:rsidR="00DC7BB9" w:rsidRPr="0593365D">
        <w:rPr>
          <w:lang w:val="en-GB"/>
        </w:rPr>
        <w:t>.</w:t>
      </w:r>
      <w:r w:rsidR="00A52557" w:rsidRPr="0593365D">
        <w:rPr>
          <w:lang w:val="en-GB"/>
        </w:rPr>
        <w:t xml:space="preserve"> </w:t>
      </w:r>
      <w:r w:rsidR="00270702" w:rsidRPr="0593365D">
        <w:rPr>
          <w:lang w:val="en-GB"/>
        </w:rPr>
        <w:t xml:space="preserve">Successfully capturing these revenues is key to integrating flexible units, </w:t>
      </w:r>
      <w:r w:rsidR="00835B51" w:rsidRPr="0593365D">
        <w:rPr>
          <w:lang w:val="en-GB"/>
        </w:rPr>
        <w:t>such as</w:t>
      </w:r>
      <w:r w:rsidR="00270702" w:rsidRPr="0593365D">
        <w:rPr>
          <w:lang w:val="en-GB"/>
        </w:rPr>
        <w:t xml:space="preserve"> </w:t>
      </w:r>
      <w:r w:rsidR="004D7C5F" w:rsidRPr="0593365D">
        <w:rPr>
          <w:lang w:val="en-GB"/>
        </w:rPr>
        <w:t xml:space="preserve">electric vehicles capable of </w:t>
      </w:r>
      <w:r w:rsidR="00327802" w:rsidRPr="0593365D">
        <w:rPr>
          <w:lang w:val="en-GB"/>
        </w:rPr>
        <w:t>bidirectional charging,</w:t>
      </w:r>
      <w:r w:rsidR="00835B51" w:rsidRPr="0593365D">
        <w:rPr>
          <w:lang w:val="en-GB"/>
        </w:rPr>
        <w:t xml:space="preserve"> into the energy system</w:t>
      </w:r>
      <w:r w:rsidR="004D7C5F" w:rsidRPr="0593365D">
        <w:rPr>
          <w:lang w:val="en-GB"/>
        </w:rPr>
        <w:t xml:space="preserve"> </w:t>
      </w:r>
      <w:r w:rsidR="00835B51" w:rsidRPr="0593365D">
        <w:rPr>
          <w:lang w:val="en-GB"/>
        </w:rPr>
        <w:t xml:space="preserve">and </w:t>
      </w:r>
      <w:r w:rsidR="003D6B85" w:rsidRPr="0593365D">
        <w:rPr>
          <w:lang w:val="en-GB"/>
        </w:rPr>
        <w:t xml:space="preserve">smoothing the volatility of renewable generation </w:t>
      </w:r>
      <w:r w:rsidR="0076048A">
        <w:rPr>
          <w:lang w:val="en-GB"/>
        </w:rPr>
        <w:t>[</w:t>
      </w:r>
      <w:r w:rsidR="006814FB">
        <w:rPr>
          <w:lang w:val="en-GB"/>
        </w:rPr>
        <w:t>5</w:t>
      </w:r>
      <w:r w:rsidR="0076048A">
        <w:rPr>
          <w:lang w:val="en-GB"/>
        </w:rPr>
        <w:t>]</w:t>
      </w:r>
      <w:r w:rsidR="003D6B85" w:rsidRPr="0593365D">
        <w:rPr>
          <w:lang w:val="en-GB"/>
        </w:rPr>
        <w:t>.</w:t>
      </w:r>
      <w:r w:rsidR="00835B51" w:rsidRPr="0593365D">
        <w:rPr>
          <w:lang w:val="en-GB"/>
        </w:rPr>
        <w:t xml:space="preserve"> </w:t>
      </w:r>
      <w:r w:rsidR="001370A7" w:rsidRPr="0593365D">
        <w:rPr>
          <w:lang w:val="en-GB"/>
        </w:rPr>
        <w:t>To assist</w:t>
      </w:r>
      <w:r w:rsidR="00686C04" w:rsidRPr="0593365D">
        <w:rPr>
          <w:lang w:val="en-GB"/>
        </w:rPr>
        <w:t xml:space="preserve"> the development of</w:t>
      </w:r>
      <w:r w:rsidR="0098145A" w:rsidRPr="0593365D">
        <w:rPr>
          <w:lang w:val="en-GB"/>
        </w:rPr>
        <w:t xml:space="preserve"> </w:t>
      </w:r>
      <w:r w:rsidR="00B12614" w:rsidRPr="0593365D">
        <w:rPr>
          <w:lang w:val="en-GB"/>
        </w:rPr>
        <w:t xml:space="preserve">profitable future </w:t>
      </w:r>
      <w:r w:rsidR="0098145A" w:rsidRPr="0593365D">
        <w:rPr>
          <w:lang w:val="en-GB"/>
        </w:rPr>
        <w:t xml:space="preserve">intraday trading strategies, </w:t>
      </w:r>
      <w:r w:rsidR="00302904" w:rsidRPr="0593365D">
        <w:rPr>
          <w:lang w:val="en-GB"/>
        </w:rPr>
        <w:t xml:space="preserve">prices on the </w:t>
      </w:r>
      <w:r w:rsidR="00F639B3">
        <w:rPr>
          <w:lang w:val="en-GB"/>
        </w:rPr>
        <w:t xml:space="preserve">continuous </w:t>
      </w:r>
      <w:r w:rsidR="00302904" w:rsidRPr="0593365D">
        <w:rPr>
          <w:lang w:val="en-GB"/>
        </w:rPr>
        <w:t>intraday market</w:t>
      </w:r>
      <w:r w:rsidR="004436C6" w:rsidRPr="0593365D">
        <w:rPr>
          <w:lang w:val="en-GB"/>
        </w:rPr>
        <w:t xml:space="preserve"> will be derived</w:t>
      </w:r>
      <w:r w:rsidR="001A27ED" w:rsidRPr="0593365D">
        <w:rPr>
          <w:lang w:val="en-GB"/>
        </w:rPr>
        <w:t xml:space="preserve"> </w:t>
      </w:r>
      <w:r w:rsidR="08151675" w:rsidRPr="0593365D">
        <w:rPr>
          <w:lang w:val="en-GB"/>
        </w:rPr>
        <w:t xml:space="preserve">from </w:t>
      </w:r>
      <w:r w:rsidR="00D337AC">
        <w:rPr>
          <w:lang w:val="en-GB"/>
        </w:rPr>
        <w:t xml:space="preserve">modelled </w:t>
      </w:r>
      <w:r w:rsidR="0081250A">
        <w:rPr>
          <w:lang w:val="en-GB"/>
        </w:rPr>
        <w:t>future</w:t>
      </w:r>
      <w:r w:rsidR="08151675" w:rsidRPr="0593365D">
        <w:rPr>
          <w:lang w:val="en-GB"/>
        </w:rPr>
        <w:t xml:space="preserve"> prices</w:t>
      </w:r>
      <w:r w:rsidR="004239C8">
        <w:rPr>
          <w:lang w:val="en-GB"/>
        </w:rPr>
        <w:t>, obtained from the FfE energy system model ISAaR,</w:t>
      </w:r>
      <w:r w:rsidR="08151675" w:rsidRPr="0593365D">
        <w:rPr>
          <w:lang w:val="en-GB"/>
        </w:rPr>
        <w:t xml:space="preserve"> </w:t>
      </w:r>
      <w:r w:rsidR="001A27ED" w:rsidRPr="0593365D">
        <w:rPr>
          <w:lang w:val="en-GB"/>
        </w:rPr>
        <w:t>for the year 2030</w:t>
      </w:r>
      <w:r w:rsidR="004436C6" w:rsidRPr="0593365D">
        <w:rPr>
          <w:lang w:val="en-GB"/>
        </w:rPr>
        <w:t>.</w:t>
      </w:r>
    </w:p>
    <w:p w14:paraId="3E04B0FB" w14:textId="0FBE1743" w:rsidR="005E4D4F" w:rsidRPr="003D053C" w:rsidRDefault="00CB418D" w:rsidP="005E4D4F">
      <w:pPr>
        <w:pStyle w:val="Ueberschrift"/>
        <w:rPr>
          <w:lang w:val="en-GB"/>
        </w:rPr>
      </w:pPr>
      <w:r w:rsidRPr="003D053C">
        <w:rPr>
          <w:lang w:val="en-GB"/>
        </w:rPr>
        <w:t>Method</w:t>
      </w:r>
      <w:r w:rsidR="003627A4" w:rsidRPr="003D053C">
        <w:rPr>
          <w:lang w:val="en-GB"/>
        </w:rPr>
        <w:t>s</w:t>
      </w:r>
    </w:p>
    <w:p w14:paraId="0171CFC0" w14:textId="1262F24E" w:rsidR="0019117D" w:rsidRDefault="00CB56CC" w:rsidP="00227125">
      <w:pPr>
        <w:rPr>
          <w:lang w:val="en-GB"/>
        </w:rPr>
      </w:pPr>
      <w:r w:rsidRPr="008A3A08">
        <w:rPr>
          <w:lang w:val="en-US"/>
        </w:rPr>
        <w:t xml:space="preserve">A </w:t>
      </w:r>
      <w:r>
        <w:rPr>
          <w:lang w:val="en-US"/>
        </w:rPr>
        <w:t>time series of</w:t>
      </w:r>
      <w:r w:rsidR="00BB5825">
        <w:rPr>
          <w:lang w:val="en-US"/>
        </w:rPr>
        <w:t xml:space="preserve"> continuous</w:t>
      </w:r>
      <w:r>
        <w:rPr>
          <w:lang w:val="en-US"/>
        </w:rPr>
        <w:t xml:space="preserve"> intraday</w:t>
      </w:r>
      <w:r w:rsidR="0090546E">
        <w:rPr>
          <w:lang w:val="en-US"/>
        </w:rPr>
        <w:t xml:space="preserve"> electricity prices </w:t>
      </w:r>
      <w:r w:rsidR="000774A0">
        <w:rPr>
          <w:lang w:val="en-US"/>
        </w:rPr>
        <w:t xml:space="preserve">will be </w:t>
      </w:r>
      <w:r w:rsidR="00475147">
        <w:rPr>
          <w:lang w:val="en-US"/>
        </w:rPr>
        <w:t>generated u</w:t>
      </w:r>
      <w:r w:rsidR="003C5DDE">
        <w:rPr>
          <w:lang w:val="en-GB"/>
        </w:rPr>
        <w:t xml:space="preserve">sing the results of </w:t>
      </w:r>
      <w:r w:rsidR="00D36B22">
        <w:rPr>
          <w:lang w:val="en-GB"/>
        </w:rPr>
        <w:t>energy system modelling</w:t>
      </w:r>
      <w:r w:rsidR="00BD4CD3">
        <w:rPr>
          <w:lang w:val="en-GB"/>
        </w:rPr>
        <w:t xml:space="preserve"> and a </w:t>
      </w:r>
      <w:r w:rsidR="00A34658">
        <w:rPr>
          <w:lang w:val="en-GB"/>
        </w:rPr>
        <w:t>M</w:t>
      </w:r>
      <w:r w:rsidR="00BD4CD3">
        <w:rPr>
          <w:lang w:val="en-GB"/>
        </w:rPr>
        <w:t xml:space="preserve">arkov chain for the </w:t>
      </w:r>
      <w:r w:rsidR="005A4AC4">
        <w:rPr>
          <w:lang w:val="en-GB"/>
        </w:rPr>
        <w:t xml:space="preserve">stochastic </w:t>
      </w:r>
      <w:r w:rsidR="00BD4CD3">
        <w:rPr>
          <w:lang w:val="en-GB"/>
        </w:rPr>
        <w:t>s</w:t>
      </w:r>
      <w:r w:rsidR="00CF478B">
        <w:rPr>
          <w:lang w:val="en-GB"/>
        </w:rPr>
        <w:t>election of price deviations</w:t>
      </w:r>
      <w:r w:rsidR="00475147">
        <w:rPr>
          <w:lang w:val="en-GB"/>
        </w:rPr>
        <w:t>.</w:t>
      </w:r>
      <w:r w:rsidR="00981A41">
        <w:rPr>
          <w:lang w:val="en-GB"/>
        </w:rPr>
        <w:t xml:space="preserve"> </w:t>
      </w:r>
      <w:r w:rsidR="00660DF3">
        <w:rPr>
          <w:lang w:val="en-GB"/>
        </w:rPr>
        <w:t xml:space="preserve">The model ISAaR provides </w:t>
      </w:r>
      <w:r w:rsidR="00CF478B">
        <w:rPr>
          <w:lang w:val="en-GB"/>
        </w:rPr>
        <w:t xml:space="preserve">input </w:t>
      </w:r>
      <w:r w:rsidR="00660DF3">
        <w:rPr>
          <w:lang w:val="en-GB"/>
        </w:rPr>
        <w:t>data</w:t>
      </w:r>
      <w:r w:rsidR="00CF478B">
        <w:rPr>
          <w:lang w:val="en-GB"/>
        </w:rPr>
        <w:t>,</w:t>
      </w:r>
      <w:r w:rsidR="00660DF3">
        <w:rPr>
          <w:lang w:val="en-GB"/>
        </w:rPr>
        <w:t xml:space="preserve"> </w:t>
      </w:r>
      <w:r w:rsidR="003509B0">
        <w:rPr>
          <w:lang w:val="en-GB"/>
        </w:rPr>
        <w:t xml:space="preserve">including </w:t>
      </w:r>
      <w:r w:rsidR="00862781">
        <w:rPr>
          <w:lang w:val="en-GB"/>
        </w:rPr>
        <w:t xml:space="preserve">conventional and renewable generation, load, residual load, </w:t>
      </w:r>
      <w:r w:rsidR="00EB1818">
        <w:rPr>
          <w:lang w:val="en-GB"/>
        </w:rPr>
        <w:t xml:space="preserve">and </w:t>
      </w:r>
      <w:r w:rsidR="00981A41">
        <w:rPr>
          <w:lang w:val="en-GB"/>
        </w:rPr>
        <w:t>day</w:t>
      </w:r>
      <w:r w:rsidR="00981A41">
        <w:rPr>
          <w:lang w:val="en-GB"/>
        </w:rPr>
        <w:noBreakHyphen/>
        <w:t xml:space="preserve">ahead </w:t>
      </w:r>
      <w:r w:rsidR="00EB1818">
        <w:rPr>
          <w:lang w:val="en-GB"/>
        </w:rPr>
        <w:t>electricity prices</w:t>
      </w:r>
      <w:r w:rsidR="00B32E7A">
        <w:rPr>
          <w:lang w:val="en-GB"/>
        </w:rPr>
        <w:t xml:space="preserve"> </w:t>
      </w:r>
      <w:r w:rsidR="008A2818">
        <w:rPr>
          <w:lang w:val="en-GB"/>
        </w:rPr>
        <w:t>for 2030</w:t>
      </w:r>
      <w:r w:rsidR="00862781">
        <w:rPr>
          <w:lang w:val="en-GB"/>
        </w:rPr>
        <w:t>.</w:t>
      </w:r>
      <w:r w:rsidR="00275F7D">
        <w:rPr>
          <w:lang w:val="en-GB"/>
        </w:rPr>
        <w:t xml:space="preserve"> </w:t>
      </w:r>
      <w:r w:rsidR="00476075">
        <w:rPr>
          <w:lang w:val="en-GB"/>
        </w:rPr>
        <w:t xml:space="preserve">The </w:t>
      </w:r>
      <w:r w:rsidR="009134B7">
        <w:rPr>
          <w:lang w:val="en-GB"/>
        </w:rPr>
        <w:t xml:space="preserve">influence of such factors upon </w:t>
      </w:r>
      <w:r w:rsidR="00867D85">
        <w:rPr>
          <w:lang w:val="en-GB"/>
        </w:rPr>
        <w:t>the variations between day</w:t>
      </w:r>
      <w:r w:rsidR="00BC45A5">
        <w:rPr>
          <w:lang w:val="en-GB"/>
        </w:rPr>
        <w:noBreakHyphen/>
      </w:r>
      <w:r w:rsidR="00867D85">
        <w:rPr>
          <w:lang w:val="en-GB"/>
        </w:rPr>
        <w:t xml:space="preserve">ahead and </w:t>
      </w:r>
      <w:r w:rsidR="009134B7">
        <w:rPr>
          <w:lang w:val="en-GB"/>
        </w:rPr>
        <w:t>intraday prices</w:t>
      </w:r>
      <w:r w:rsidR="001807BC">
        <w:rPr>
          <w:lang w:val="en-GB"/>
        </w:rPr>
        <w:t xml:space="preserve"> </w:t>
      </w:r>
      <w:r w:rsidR="00B34DCE">
        <w:rPr>
          <w:lang w:val="en-GB"/>
        </w:rPr>
        <w:t xml:space="preserve">are </w:t>
      </w:r>
      <w:r w:rsidR="009C747C">
        <w:rPr>
          <w:lang w:val="en-GB"/>
        </w:rPr>
        <w:t>examined</w:t>
      </w:r>
      <w:r w:rsidR="00823E84">
        <w:rPr>
          <w:lang w:val="en-GB"/>
        </w:rPr>
        <w:t xml:space="preserve"> using</w:t>
      </w:r>
      <w:r w:rsidR="005A150D">
        <w:rPr>
          <w:lang w:val="en-GB"/>
        </w:rPr>
        <w:t xml:space="preserve"> additional</w:t>
      </w:r>
      <w:r w:rsidR="00823E84">
        <w:rPr>
          <w:lang w:val="en-GB"/>
        </w:rPr>
        <w:t xml:space="preserve"> historical time series data from 2018-2020</w:t>
      </w:r>
      <w:r w:rsidR="00F42126">
        <w:rPr>
          <w:lang w:val="en-GB"/>
        </w:rPr>
        <w:t>,</w:t>
      </w:r>
      <w:r w:rsidR="009C747C">
        <w:rPr>
          <w:lang w:val="en-GB"/>
        </w:rPr>
        <w:t xml:space="preserve"> and relevant factors</w:t>
      </w:r>
      <w:r w:rsidR="00B34DCE">
        <w:rPr>
          <w:lang w:val="en-GB"/>
        </w:rPr>
        <w:t xml:space="preserve"> are selected</w:t>
      </w:r>
      <w:r w:rsidR="009C747C">
        <w:rPr>
          <w:lang w:val="en-GB"/>
        </w:rPr>
        <w:t xml:space="preserve"> for</w:t>
      </w:r>
      <w:r w:rsidR="0027207A">
        <w:rPr>
          <w:lang w:val="en-GB"/>
        </w:rPr>
        <w:t xml:space="preserve"> the</w:t>
      </w:r>
      <w:r w:rsidR="00823E84">
        <w:rPr>
          <w:lang w:val="en-GB"/>
        </w:rPr>
        <w:t xml:space="preserve"> </w:t>
      </w:r>
      <w:r w:rsidR="00B34DCE">
        <w:rPr>
          <w:lang w:val="en-GB"/>
        </w:rPr>
        <w:t>determination</w:t>
      </w:r>
      <w:r w:rsidR="00823E84">
        <w:rPr>
          <w:lang w:val="en-GB"/>
        </w:rPr>
        <w:t xml:space="preserve"> of</w:t>
      </w:r>
      <w:r w:rsidR="00D85843">
        <w:rPr>
          <w:lang w:val="en-GB"/>
        </w:rPr>
        <w:t xml:space="preserve"> future</w:t>
      </w:r>
      <w:r w:rsidR="00823E84">
        <w:rPr>
          <w:lang w:val="en-GB"/>
        </w:rPr>
        <w:t xml:space="preserve"> prices</w:t>
      </w:r>
      <w:r w:rsidR="005A150D">
        <w:rPr>
          <w:lang w:val="en-GB"/>
        </w:rPr>
        <w:t xml:space="preserve"> (Step 1</w:t>
      </w:r>
      <w:r w:rsidR="005B48AE">
        <w:rPr>
          <w:lang w:val="en-GB"/>
        </w:rPr>
        <w:t>a</w:t>
      </w:r>
      <w:r w:rsidR="005A150D">
        <w:rPr>
          <w:lang w:val="en-GB"/>
        </w:rPr>
        <w:t xml:space="preserve"> in </w:t>
      </w:r>
      <w:r w:rsidR="005A150D">
        <w:rPr>
          <w:lang w:val="en-GB"/>
        </w:rPr>
        <w:fldChar w:fldCharType="begin"/>
      </w:r>
      <w:r w:rsidR="005A150D">
        <w:rPr>
          <w:lang w:val="en-GB"/>
        </w:rPr>
        <w:instrText xml:space="preserve"> REF _Ref73100773 \h </w:instrText>
      </w:r>
      <w:r w:rsidR="005A150D">
        <w:rPr>
          <w:lang w:val="en-GB"/>
        </w:rPr>
      </w:r>
      <w:r w:rsidR="005A150D">
        <w:rPr>
          <w:lang w:val="en-GB"/>
        </w:rPr>
        <w:fldChar w:fldCharType="separate"/>
      </w:r>
      <w:r w:rsidR="005A150D" w:rsidRPr="004D320E">
        <w:rPr>
          <w:lang w:val="en-US"/>
        </w:rPr>
        <w:t xml:space="preserve">Figure </w:t>
      </w:r>
      <w:r w:rsidR="005A150D" w:rsidRPr="004D320E">
        <w:rPr>
          <w:noProof/>
          <w:lang w:val="en-US"/>
        </w:rPr>
        <w:t>1</w:t>
      </w:r>
      <w:r w:rsidR="005A150D">
        <w:rPr>
          <w:lang w:val="en-GB"/>
        </w:rPr>
        <w:fldChar w:fldCharType="end"/>
      </w:r>
      <w:r w:rsidR="005A150D">
        <w:rPr>
          <w:lang w:val="en-GB"/>
        </w:rPr>
        <w:t>)</w:t>
      </w:r>
      <w:r w:rsidR="00823E84">
        <w:rPr>
          <w:lang w:val="en-GB"/>
        </w:rPr>
        <w:t>.</w:t>
      </w:r>
      <w:r w:rsidR="00867D85">
        <w:rPr>
          <w:lang w:val="en-GB"/>
        </w:rPr>
        <w:t xml:space="preserve"> The </w:t>
      </w:r>
      <w:r w:rsidR="00880A9E">
        <w:rPr>
          <w:lang w:val="en-GB"/>
        </w:rPr>
        <w:t>historical</w:t>
      </w:r>
      <w:r w:rsidR="00867D85">
        <w:rPr>
          <w:lang w:val="en-GB"/>
        </w:rPr>
        <w:t xml:space="preserve"> price variations under consideration of various</w:t>
      </w:r>
      <w:r w:rsidR="00EE2D0F">
        <w:rPr>
          <w:lang w:val="en-GB"/>
        </w:rPr>
        <w:t xml:space="preserve"> levels of the influencing</w:t>
      </w:r>
      <w:r w:rsidR="00867D85">
        <w:rPr>
          <w:lang w:val="en-GB"/>
        </w:rPr>
        <w:t xml:space="preserve"> factors</w:t>
      </w:r>
      <w:r w:rsidR="009134B7">
        <w:rPr>
          <w:lang w:val="en-GB"/>
        </w:rPr>
        <w:t xml:space="preserve"> </w:t>
      </w:r>
      <w:r w:rsidR="00EE2D0F">
        <w:rPr>
          <w:lang w:val="en-GB"/>
        </w:rPr>
        <w:t xml:space="preserve">(e.g., high vs. low residual load) </w:t>
      </w:r>
      <w:r w:rsidR="005B48AE">
        <w:rPr>
          <w:lang w:val="en-GB"/>
        </w:rPr>
        <w:t>are</w:t>
      </w:r>
      <w:r w:rsidR="00867D85">
        <w:rPr>
          <w:lang w:val="en-GB"/>
        </w:rPr>
        <w:t xml:space="preserve"> also </w:t>
      </w:r>
      <w:r w:rsidR="00A07F65">
        <w:rPr>
          <w:lang w:val="en-GB"/>
        </w:rPr>
        <w:t>categorized</w:t>
      </w:r>
      <w:r w:rsidR="00880A9E">
        <w:rPr>
          <w:lang w:val="en-GB"/>
        </w:rPr>
        <w:t xml:space="preserve"> (e.g., </w:t>
      </w:r>
      <w:r w:rsidR="00556ED3">
        <w:rPr>
          <w:lang w:val="en-GB"/>
        </w:rPr>
        <w:t>high/low negative</w:t>
      </w:r>
      <w:r w:rsidR="008C514D">
        <w:rPr>
          <w:lang w:val="en-GB"/>
        </w:rPr>
        <w:t xml:space="preserve"> variation</w:t>
      </w:r>
      <w:r w:rsidR="00556ED3">
        <w:rPr>
          <w:lang w:val="en-GB"/>
        </w:rPr>
        <w:t>, high/low positive</w:t>
      </w:r>
      <w:r w:rsidR="008C514D">
        <w:rPr>
          <w:lang w:val="en-GB"/>
        </w:rPr>
        <w:t xml:space="preserve"> variation</w:t>
      </w:r>
      <w:r w:rsidR="00556ED3">
        <w:rPr>
          <w:lang w:val="en-GB"/>
        </w:rPr>
        <w:t>)</w:t>
      </w:r>
      <w:r w:rsidR="005B48AE">
        <w:rPr>
          <w:lang w:val="en-GB"/>
        </w:rPr>
        <w:t xml:space="preserve"> in Step 1b</w:t>
      </w:r>
      <w:r w:rsidR="008C514D">
        <w:rPr>
          <w:lang w:val="en-GB"/>
        </w:rPr>
        <w:t>.</w:t>
      </w:r>
      <w:r w:rsidR="00A07F65">
        <w:rPr>
          <w:lang w:val="en-GB"/>
        </w:rPr>
        <w:t xml:space="preserve"> </w:t>
      </w:r>
      <w:r w:rsidR="000A0E8F">
        <w:rPr>
          <w:lang w:val="en-GB"/>
        </w:rPr>
        <w:t xml:space="preserve">The </w:t>
      </w:r>
      <w:r w:rsidR="00792FE9">
        <w:rPr>
          <w:lang w:val="en-GB"/>
        </w:rPr>
        <w:t>factor</w:t>
      </w:r>
      <w:r w:rsidR="005B48AE">
        <w:rPr>
          <w:lang w:val="en-GB"/>
        </w:rPr>
        <w:t>s, their levels,</w:t>
      </w:r>
      <w:r w:rsidR="00792FE9">
        <w:rPr>
          <w:lang w:val="en-GB"/>
        </w:rPr>
        <w:t xml:space="preserve"> and </w:t>
      </w:r>
      <w:r w:rsidR="005B48AE">
        <w:rPr>
          <w:lang w:val="en-GB"/>
        </w:rPr>
        <w:t xml:space="preserve">the </w:t>
      </w:r>
      <w:r w:rsidR="00792FE9">
        <w:rPr>
          <w:lang w:val="en-GB"/>
        </w:rPr>
        <w:t>variation</w:t>
      </w:r>
      <w:r w:rsidR="005B48AE">
        <w:rPr>
          <w:lang w:val="en-GB"/>
        </w:rPr>
        <w:t xml:space="preserve"> categories</w:t>
      </w:r>
      <w:r w:rsidR="00792FE9">
        <w:rPr>
          <w:lang w:val="en-GB"/>
        </w:rPr>
        <w:t xml:space="preserve"> are </w:t>
      </w:r>
      <w:r w:rsidR="00340460">
        <w:rPr>
          <w:lang w:val="en-GB"/>
        </w:rPr>
        <w:t xml:space="preserve">carried over </w:t>
      </w:r>
      <w:r w:rsidR="00556ED3">
        <w:rPr>
          <w:lang w:val="en-GB"/>
        </w:rPr>
        <w:t>for</w:t>
      </w:r>
      <w:r w:rsidR="00340460">
        <w:rPr>
          <w:lang w:val="en-GB"/>
        </w:rPr>
        <w:t xml:space="preserve"> the creation of future prices in combination with the </w:t>
      </w:r>
      <w:r w:rsidR="00EF5D09">
        <w:rPr>
          <w:lang w:val="en-GB"/>
        </w:rPr>
        <w:t>output</w:t>
      </w:r>
      <w:r w:rsidR="00340460">
        <w:rPr>
          <w:lang w:val="en-GB"/>
        </w:rPr>
        <w:t xml:space="preserve"> of </w:t>
      </w:r>
      <w:r w:rsidR="00EF5D09">
        <w:rPr>
          <w:lang w:val="en-GB"/>
        </w:rPr>
        <w:t>the energy system model</w:t>
      </w:r>
      <w:r w:rsidR="005B48AE">
        <w:rPr>
          <w:lang w:val="en-GB"/>
        </w:rPr>
        <w:t>.</w:t>
      </w:r>
    </w:p>
    <w:p w14:paraId="4C0AFC80" w14:textId="77777777" w:rsidR="00C068E8" w:rsidRDefault="00C068E8" w:rsidP="00227125">
      <w:pPr>
        <w:rPr>
          <w:lang w:val="en-GB"/>
        </w:rPr>
      </w:pPr>
    </w:p>
    <w:p w14:paraId="004EECCE" w14:textId="3A8DA538" w:rsidR="00C068E8" w:rsidRDefault="00C068E8" w:rsidP="00227125">
      <w:pPr>
        <w:rPr>
          <w:lang w:val="en-GB"/>
        </w:rPr>
      </w:pPr>
      <w:r>
        <w:rPr>
          <w:lang w:val="en-GB"/>
        </w:rPr>
        <w:t xml:space="preserve">To obtain stochastic variations within the ranges of the observed variation categories, and to reflect the temporal linkages between price variations of consecutive time steps, the price variations will be drawn using a Markov chain. Transition probabilities for each variation category are calculated from the historical data for all levels of each selected influence factor (Step 2 in </w:t>
      </w:r>
      <w:r>
        <w:rPr>
          <w:lang w:val="en-GB"/>
        </w:rPr>
        <w:fldChar w:fldCharType="begin"/>
      </w:r>
      <w:r>
        <w:rPr>
          <w:lang w:val="en-GB"/>
        </w:rPr>
        <w:instrText xml:space="preserve"> REF _Ref73100773 \h </w:instrText>
      </w:r>
      <w:r>
        <w:rPr>
          <w:lang w:val="en-GB"/>
        </w:rPr>
      </w:r>
      <w:r>
        <w:rPr>
          <w:lang w:val="en-GB"/>
        </w:rPr>
        <w:fldChar w:fldCharType="separate"/>
      </w:r>
      <w:r w:rsidRPr="00576607">
        <w:rPr>
          <w:lang w:val="en-US"/>
        </w:rPr>
        <w:t xml:space="preserve">Figure </w:t>
      </w:r>
      <w:r w:rsidRPr="00576607">
        <w:rPr>
          <w:noProof/>
          <w:lang w:val="en-US"/>
        </w:rPr>
        <w:t>1</w:t>
      </w:r>
      <w:r>
        <w:rPr>
          <w:lang w:val="en-GB"/>
        </w:rPr>
        <w:fldChar w:fldCharType="end"/>
      </w:r>
      <w:r>
        <w:rPr>
          <w:lang w:val="en-GB"/>
        </w:rPr>
        <w:t>). For each time step in 2030 the current state of the influencing factor, as determined in ISAaR, and the category of the price variation from the previous time step together determine which transition probability from step 2 is used to draw each new price variation in step 3.</w:t>
      </w:r>
      <w:r w:rsidRPr="0593365D">
        <w:rPr>
          <w:lang w:val="en-GB"/>
        </w:rPr>
        <w:t xml:space="preserve"> </w:t>
      </w:r>
      <w:r w:rsidRPr="007D4EDC">
        <w:rPr>
          <w:lang w:val="en-GB"/>
        </w:rPr>
        <w:t xml:space="preserve">These price variations are then summed </w:t>
      </w:r>
      <w:r w:rsidRPr="00576607">
        <w:rPr>
          <w:rStyle w:val="CommentReference"/>
          <w:sz w:val="20"/>
          <w:szCs w:val="20"/>
          <w:lang w:val="en-US"/>
        </w:rPr>
        <w:t>with the corresponding day-ahead prices from ISAaR in step 4</w:t>
      </w:r>
      <w:r w:rsidRPr="00576607">
        <w:rPr>
          <w:sz w:val="24"/>
          <w:szCs w:val="32"/>
          <w:lang w:val="en-GB"/>
        </w:rPr>
        <w:t xml:space="preserve"> </w:t>
      </w:r>
      <w:r w:rsidRPr="007D4EDC">
        <w:rPr>
          <w:lang w:val="en-GB"/>
        </w:rPr>
        <w:t xml:space="preserve">to obtain a time series of </w:t>
      </w:r>
      <w:r w:rsidR="00AA3FE0">
        <w:rPr>
          <w:lang w:val="en-GB"/>
        </w:rPr>
        <w:t xml:space="preserve">continuous </w:t>
      </w:r>
      <w:r w:rsidRPr="007D4EDC">
        <w:rPr>
          <w:lang w:val="en-GB"/>
        </w:rPr>
        <w:t>intraday prices for the year 2030.</w:t>
      </w:r>
      <w:r w:rsidR="00345A59">
        <w:rPr>
          <w:lang w:val="en-GB"/>
        </w:rPr>
        <w:t xml:space="preserve"> Th</w:t>
      </w:r>
      <w:r w:rsidR="00794E4F">
        <w:rPr>
          <w:lang w:val="en-GB"/>
        </w:rPr>
        <w:t xml:space="preserve">is </w:t>
      </w:r>
      <w:r w:rsidR="00345A59">
        <w:rPr>
          <w:lang w:val="en-GB"/>
        </w:rPr>
        <w:t>descri</w:t>
      </w:r>
      <w:r w:rsidR="00794E4F">
        <w:rPr>
          <w:lang w:val="en-GB"/>
        </w:rPr>
        <w:t>ption</w:t>
      </w:r>
      <w:r w:rsidR="00345A59">
        <w:rPr>
          <w:lang w:val="en-GB"/>
        </w:rPr>
        <w:t xml:space="preserve"> </w:t>
      </w:r>
      <w:r w:rsidR="00794E4F">
        <w:rPr>
          <w:lang w:val="en-GB"/>
        </w:rPr>
        <w:t>concerned the</w:t>
      </w:r>
      <w:r w:rsidR="00345A59">
        <w:rPr>
          <w:lang w:val="en-GB"/>
        </w:rPr>
        <w:t xml:space="preserve"> calculation of hourly continuous intraday prices based on deviations from the day-ahead market, but the method is used </w:t>
      </w:r>
      <w:r w:rsidR="005846C9">
        <w:rPr>
          <w:lang w:val="en-GB"/>
        </w:rPr>
        <w:t xml:space="preserve">in the same manner </w:t>
      </w:r>
      <w:r w:rsidR="00345A59">
        <w:rPr>
          <w:lang w:val="en-GB"/>
        </w:rPr>
        <w:t>to obtain quarter-hourly continuous prices using deviations from the intraday auction.</w:t>
      </w:r>
    </w:p>
    <w:p w14:paraId="55CF8460" w14:textId="70871DE4" w:rsidR="00D6402B" w:rsidRDefault="00C068E8" w:rsidP="004D320E">
      <w:pPr>
        <w:keepNext/>
        <w:jc w:val="center"/>
      </w:pPr>
      <w:r>
        <w:rPr>
          <w:noProof/>
        </w:rPr>
        <w:drawing>
          <wp:inline distT="0" distB="0" distL="0" distR="0" wp14:anchorId="33525F99" wp14:editId="584A4AD2">
            <wp:extent cx="3314700" cy="3252006"/>
            <wp:effectExtent l="19050" t="19050" r="19050" b="2476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32570" cy="3269538"/>
                    </a:xfrm>
                    <a:prstGeom prst="rect">
                      <a:avLst/>
                    </a:prstGeom>
                    <a:noFill/>
                    <a:ln>
                      <a:solidFill>
                        <a:schemeClr val="tx1"/>
                      </a:solidFill>
                    </a:ln>
                  </pic:spPr>
                </pic:pic>
              </a:graphicData>
            </a:graphic>
          </wp:inline>
        </w:drawing>
      </w:r>
    </w:p>
    <w:p w14:paraId="23AD79FD" w14:textId="62E37593" w:rsidR="00A1601D" w:rsidRPr="004D320E" w:rsidRDefault="00D6402B" w:rsidP="004D320E">
      <w:pPr>
        <w:pStyle w:val="Caption"/>
        <w:jc w:val="center"/>
        <w:rPr>
          <w:lang w:val="en-US"/>
        </w:rPr>
      </w:pPr>
      <w:bookmarkStart w:id="0" w:name="_Ref73100773"/>
      <w:r w:rsidRPr="004D320E">
        <w:rPr>
          <w:lang w:val="en-US"/>
        </w:rPr>
        <w:t xml:space="preserve">Figure </w:t>
      </w:r>
      <w:r>
        <w:fldChar w:fldCharType="begin"/>
      </w:r>
      <w:r w:rsidRPr="004D320E">
        <w:rPr>
          <w:lang w:val="en-US"/>
        </w:rPr>
        <w:instrText xml:space="preserve"> SEQ Figure \* ARABIC </w:instrText>
      </w:r>
      <w:r>
        <w:fldChar w:fldCharType="separate"/>
      </w:r>
      <w:r w:rsidRPr="004D320E">
        <w:rPr>
          <w:noProof/>
          <w:lang w:val="en-US"/>
        </w:rPr>
        <w:t>1</w:t>
      </w:r>
      <w:r>
        <w:fldChar w:fldCharType="end"/>
      </w:r>
      <w:bookmarkEnd w:id="0"/>
      <w:r w:rsidRPr="004D320E">
        <w:rPr>
          <w:lang w:val="en-US"/>
        </w:rPr>
        <w:t xml:space="preserve">: Overview of </w:t>
      </w:r>
      <w:r>
        <w:rPr>
          <w:lang w:val="en-US"/>
        </w:rPr>
        <w:t>t</w:t>
      </w:r>
      <w:r w:rsidRPr="004D320E">
        <w:rPr>
          <w:lang w:val="en-US"/>
        </w:rPr>
        <w:t xml:space="preserve">he </w:t>
      </w:r>
      <w:r w:rsidR="00F13A76">
        <w:rPr>
          <w:lang w:val="en-US"/>
        </w:rPr>
        <w:t>described methodology</w:t>
      </w:r>
      <w:r>
        <w:rPr>
          <w:lang w:val="en-US"/>
        </w:rPr>
        <w:t xml:space="preserve"> </w:t>
      </w:r>
    </w:p>
    <w:p w14:paraId="2ECF1A98" w14:textId="2AD9CC1C" w:rsidR="00475E33" w:rsidRPr="003D053C" w:rsidRDefault="00215ED7" w:rsidP="00227125">
      <w:pPr>
        <w:rPr>
          <w:lang w:val="en-GB"/>
        </w:rPr>
      </w:pPr>
      <w:r>
        <w:rPr>
          <w:lang w:val="en-GB"/>
        </w:rPr>
        <w:t xml:space="preserve"> </w:t>
      </w:r>
      <w:r w:rsidR="00DB2314">
        <w:rPr>
          <w:lang w:val="en-GB"/>
        </w:rPr>
        <w:t xml:space="preserve"> </w:t>
      </w:r>
    </w:p>
    <w:p w14:paraId="41A2D8ED" w14:textId="78E8D00B" w:rsidR="000A0761" w:rsidRDefault="003627A4" w:rsidP="004D320E">
      <w:pPr>
        <w:pStyle w:val="Ueberschrift"/>
        <w:rPr>
          <w:lang w:val="en-GB"/>
        </w:rPr>
      </w:pPr>
      <w:r w:rsidRPr="003D053C">
        <w:rPr>
          <w:lang w:val="en-GB"/>
        </w:rPr>
        <w:t>Results</w:t>
      </w:r>
    </w:p>
    <w:p w14:paraId="255FB9A7" w14:textId="3F004B4D" w:rsidR="002946B8" w:rsidRPr="003D053C" w:rsidRDefault="00337B50" w:rsidP="00227125">
      <w:pPr>
        <w:rPr>
          <w:lang w:val="en-GB"/>
        </w:rPr>
      </w:pPr>
      <w:r>
        <w:rPr>
          <w:lang w:val="en-GB"/>
        </w:rPr>
        <w:t xml:space="preserve">Statistical analysis of the historical data identified </w:t>
      </w:r>
      <w:r w:rsidR="00E155B0">
        <w:rPr>
          <w:lang w:val="en-GB"/>
        </w:rPr>
        <w:t xml:space="preserve">the </w:t>
      </w:r>
      <w:r>
        <w:rPr>
          <w:lang w:val="en-GB"/>
        </w:rPr>
        <w:t>residual load</w:t>
      </w:r>
      <w:r w:rsidR="00F85CB0">
        <w:rPr>
          <w:lang w:val="en-GB"/>
        </w:rPr>
        <w:t xml:space="preserve">, which also captures the influences of other potential factors (i.e., </w:t>
      </w:r>
      <w:r w:rsidR="004A74A4">
        <w:rPr>
          <w:lang w:val="en-GB"/>
        </w:rPr>
        <w:t>time of day, load, and conventional and renewable generation),</w:t>
      </w:r>
      <w:r>
        <w:rPr>
          <w:lang w:val="en-GB"/>
        </w:rPr>
        <w:t xml:space="preserve"> as </w:t>
      </w:r>
      <w:r w:rsidR="00222856">
        <w:rPr>
          <w:lang w:val="en-GB"/>
        </w:rPr>
        <w:t>the most appropriate influencing factor.</w:t>
      </w:r>
      <w:r w:rsidR="004A74A4">
        <w:rPr>
          <w:lang w:val="en-GB"/>
        </w:rPr>
        <w:t xml:space="preserve"> T</w:t>
      </w:r>
      <w:r w:rsidR="00FA45AA">
        <w:rPr>
          <w:lang w:val="en-GB"/>
        </w:rPr>
        <w:t xml:space="preserve">herefore, the </w:t>
      </w:r>
      <w:r w:rsidR="00E155B0">
        <w:rPr>
          <w:lang w:val="en-GB"/>
        </w:rPr>
        <w:t>M</w:t>
      </w:r>
      <w:r w:rsidR="00FA45AA">
        <w:rPr>
          <w:lang w:val="en-GB"/>
        </w:rPr>
        <w:t xml:space="preserve">arkov chain function </w:t>
      </w:r>
      <w:r w:rsidR="00557D7C">
        <w:rPr>
          <w:lang w:val="en-GB"/>
        </w:rPr>
        <w:t>is</w:t>
      </w:r>
      <w:r w:rsidR="00FA45AA">
        <w:rPr>
          <w:lang w:val="en-GB"/>
        </w:rPr>
        <w:t xml:space="preserve"> based upon the different residual load levels</w:t>
      </w:r>
      <w:r w:rsidR="00222856">
        <w:rPr>
          <w:lang w:val="en-GB"/>
        </w:rPr>
        <w:t xml:space="preserve"> </w:t>
      </w:r>
      <w:r w:rsidR="00FA45AA">
        <w:rPr>
          <w:lang w:val="en-GB"/>
        </w:rPr>
        <w:t>observed in the historical data.</w:t>
      </w:r>
      <w:r w:rsidR="00557D7C">
        <w:rPr>
          <w:lang w:val="en-GB"/>
        </w:rPr>
        <w:t xml:space="preserve"> </w:t>
      </w:r>
      <w:r w:rsidR="00097C54" w:rsidRPr="0593365D">
        <w:rPr>
          <w:lang w:val="en-GB"/>
        </w:rPr>
        <w:t xml:space="preserve">Calculations show that </w:t>
      </w:r>
      <w:r w:rsidR="00892C32" w:rsidRPr="0593365D">
        <w:rPr>
          <w:lang w:val="en-GB"/>
        </w:rPr>
        <w:t xml:space="preserve">the described method </w:t>
      </w:r>
      <w:r w:rsidR="00F020B9" w:rsidRPr="0593365D">
        <w:rPr>
          <w:lang w:val="en-GB"/>
        </w:rPr>
        <w:t xml:space="preserve">is capable of producing </w:t>
      </w:r>
      <w:r w:rsidR="005A17BE" w:rsidRPr="0593365D">
        <w:rPr>
          <w:lang w:val="en-GB"/>
        </w:rPr>
        <w:t xml:space="preserve">price variations </w:t>
      </w:r>
      <w:r w:rsidR="00236179">
        <w:rPr>
          <w:lang w:val="en-GB"/>
        </w:rPr>
        <w:t xml:space="preserve">with similar qualities to those </w:t>
      </w:r>
      <w:r w:rsidR="005A17BE" w:rsidRPr="0593365D">
        <w:rPr>
          <w:lang w:val="en-GB"/>
        </w:rPr>
        <w:t>observed</w:t>
      </w:r>
      <w:r w:rsidR="004C78C2" w:rsidRPr="0593365D">
        <w:rPr>
          <w:lang w:val="en-GB"/>
        </w:rPr>
        <w:t xml:space="preserve"> in the historical data.</w:t>
      </w:r>
      <w:r w:rsidR="00D91349" w:rsidRPr="0593365D">
        <w:rPr>
          <w:lang w:val="en-GB"/>
        </w:rPr>
        <w:t xml:space="preserve"> </w:t>
      </w:r>
      <w:r w:rsidR="007536AA" w:rsidRPr="0593365D">
        <w:rPr>
          <w:lang w:val="en-GB"/>
        </w:rPr>
        <w:t>Th</w:t>
      </w:r>
      <w:r w:rsidR="007536AA">
        <w:rPr>
          <w:lang w:val="en-GB"/>
        </w:rPr>
        <w:t>us</w:t>
      </w:r>
      <w:r w:rsidR="00D91349" w:rsidRPr="0593365D">
        <w:rPr>
          <w:lang w:val="en-GB"/>
        </w:rPr>
        <w:t>, th</w:t>
      </w:r>
      <w:r w:rsidR="00CD7DEA">
        <w:rPr>
          <w:lang w:val="en-GB"/>
        </w:rPr>
        <w:t>is</w:t>
      </w:r>
      <w:r w:rsidR="00D91349" w:rsidRPr="0593365D">
        <w:rPr>
          <w:lang w:val="en-GB"/>
        </w:rPr>
        <w:t xml:space="preserve"> method</w:t>
      </w:r>
      <w:r w:rsidR="00CD7DEA">
        <w:rPr>
          <w:lang w:val="en-GB"/>
        </w:rPr>
        <w:t xml:space="preserve"> also</w:t>
      </w:r>
      <w:r w:rsidR="00D91349" w:rsidRPr="0593365D">
        <w:rPr>
          <w:lang w:val="en-GB"/>
        </w:rPr>
        <w:t xml:space="preserve"> appears suitable for </w:t>
      </w:r>
      <w:r w:rsidR="006F3CFE" w:rsidRPr="0593365D">
        <w:rPr>
          <w:lang w:val="en-GB"/>
        </w:rPr>
        <w:t>build</w:t>
      </w:r>
      <w:r w:rsidR="00212E21" w:rsidRPr="0593365D">
        <w:rPr>
          <w:lang w:val="en-GB"/>
        </w:rPr>
        <w:t>ing</w:t>
      </w:r>
      <w:r w:rsidR="009D057C" w:rsidRPr="0593365D">
        <w:rPr>
          <w:lang w:val="en-GB"/>
        </w:rPr>
        <w:t xml:space="preserve"> time</w:t>
      </w:r>
      <w:r w:rsidR="00C6436B" w:rsidRPr="0593365D">
        <w:rPr>
          <w:lang w:val="en-GB"/>
        </w:rPr>
        <w:t xml:space="preserve"> </w:t>
      </w:r>
      <w:r w:rsidR="009D057C" w:rsidRPr="0593365D">
        <w:rPr>
          <w:lang w:val="en-GB"/>
        </w:rPr>
        <w:t>series of</w:t>
      </w:r>
      <w:r w:rsidR="00212E21" w:rsidRPr="0593365D">
        <w:rPr>
          <w:lang w:val="en-GB"/>
        </w:rPr>
        <w:t xml:space="preserve"> future</w:t>
      </w:r>
      <w:r w:rsidR="009D057C" w:rsidRPr="0593365D">
        <w:rPr>
          <w:lang w:val="en-GB"/>
        </w:rPr>
        <w:t xml:space="preserve"> </w:t>
      </w:r>
      <w:r w:rsidR="00D605ED">
        <w:rPr>
          <w:lang w:val="en-GB"/>
        </w:rPr>
        <w:t xml:space="preserve">continuous </w:t>
      </w:r>
      <w:r w:rsidR="009D057C" w:rsidRPr="0593365D">
        <w:rPr>
          <w:lang w:val="en-GB"/>
        </w:rPr>
        <w:t>intraday prices</w:t>
      </w:r>
      <w:r w:rsidR="00B461C3">
        <w:rPr>
          <w:lang w:val="en-GB"/>
        </w:rPr>
        <w:t xml:space="preserve"> </w:t>
      </w:r>
      <w:r w:rsidR="007536AA">
        <w:rPr>
          <w:lang w:val="en-GB"/>
        </w:rPr>
        <w:t>using</w:t>
      </w:r>
      <w:r w:rsidR="0073273D">
        <w:rPr>
          <w:lang w:val="en-GB"/>
        </w:rPr>
        <w:t xml:space="preserve"> the modelled day</w:t>
      </w:r>
      <w:r w:rsidR="0073273D">
        <w:rPr>
          <w:lang w:val="en-GB"/>
        </w:rPr>
        <w:noBreakHyphen/>
        <w:t>ahead</w:t>
      </w:r>
      <w:r w:rsidR="00B461C3">
        <w:rPr>
          <w:lang w:val="en-GB"/>
        </w:rPr>
        <w:t xml:space="preserve"> </w:t>
      </w:r>
      <w:r w:rsidR="0073273D">
        <w:rPr>
          <w:lang w:val="en-GB"/>
        </w:rPr>
        <w:t>prices</w:t>
      </w:r>
      <w:r w:rsidR="00D605ED">
        <w:rPr>
          <w:lang w:val="en-GB"/>
        </w:rPr>
        <w:t>, or intraday auction prices,</w:t>
      </w:r>
      <w:r w:rsidR="0073273D">
        <w:rPr>
          <w:lang w:val="en-GB"/>
        </w:rPr>
        <w:t xml:space="preserve"> </w:t>
      </w:r>
      <w:r w:rsidR="000B00AA">
        <w:rPr>
          <w:lang w:val="en-GB"/>
        </w:rPr>
        <w:t>and</w:t>
      </w:r>
      <w:r w:rsidR="0073273D">
        <w:rPr>
          <w:lang w:val="en-GB"/>
        </w:rPr>
        <w:t xml:space="preserve"> </w:t>
      </w:r>
      <w:r w:rsidR="003E1F3F">
        <w:rPr>
          <w:lang w:val="en-GB"/>
        </w:rPr>
        <w:t>residual load</w:t>
      </w:r>
      <w:r w:rsidR="006E05FC">
        <w:rPr>
          <w:lang w:val="en-GB"/>
        </w:rPr>
        <w:t xml:space="preserve"> values</w:t>
      </w:r>
      <w:r w:rsidR="009D057C" w:rsidRPr="0593365D">
        <w:rPr>
          <w:lang w:val="en-GB"/>
        </w:rPr>
        <w:t>.</w:t>
      </w:r>
      <w:r w:rsidR="00CD7DEA">
        <w:rPr>
          <w:lang w:val="en-GB"/>
        </w:rPr>
        <w:t xml:space="preserve"> In further steps, the described method can be used to evaluate </w:t>
      </w:r>
      <w:r w:rsidR="00307737">
        <w:rPr>
          <w:lang w:val="en-GB"/>
        </w:rPr>
        <w:t>potential future revenues for</w:t>
      </w:r>
      <w:r w:rsidR="00E241B1" w:rsidRPr="0593365D">
        <w:rPr>
          <w:lang w:val="en-GB"/>
        </w:rPr>
        <w:t xml:space="preserve"> </w:t>
      </w:r>
      <w:r w:rsidR="00307737">
        <w:rPr>
          <w:lang w:val="en-GB"/>
        </w:rPr>
        <w:t>existing flexibility providers</w:t>
      </w:r>
      <w:r w:rsidR="002D23BC">
        <w:rPr>
          <w:lang w:val="en-GB"/>
        </w:rPr>
        <w:t xml:space="preserve"> in different future scenarios, such as various degrees of market penetration by renewable generation. </w:t>
      </w:r>
    </w:p>
    <w:p w14:paraId="6462107C" w14:textId="12F29738" w:rsidR="005E4D4F" w:rsidRPr="003D053C" w:rsidRDefault="005E4D4F" w:rsidP="00A156E4">
      <w:pPr>
        <w:pStyle w:val="Ueberschrift"/>
        <w:rPr>
          <w:lang w:val="en-GB"/>
        </w:rPr>
      </w:pPr>
      <w:bookmarkStart w:id="1" w:name="_Toc26086066"/>
      <w:bookmarkStart w:id="2" w:name="_Toc68418491"/>
      <w:r w:rsidRPr="003D053C">
        <w:rPr>
          <w:lang w:val="en-GB"/>
        </w:rPr>
        <w:t>Literatur</w:t>
      </w:r>
      <w:bookmarkEnd w:id="1"/>
      <w:bookmarkEnd w:id="2"/>
      <w:r w:rsidR="003627A4" w:rsidRPr="003D053C">
        <w:rPr>
          <w:lang w:val="en-GB"/>
        </w:rPr>
        <w:t>e</w:t>
      </w:r>
    </w:p>
    <w:tbl>
      <w:tblPr>
        <w:tblStyle w:val="TableGrid"/>
        <w:tblW w:w="0" w:type="auto"/>
        <w:tblInd w:w="284" w:type="dxa"/>
        <w:tblLook w:val="04A0" w:firstRow="1" w:lastRow="0" w:firstColumn="1" w:lastColumn="0" w:noHBand="0" w:noVBand="1"/>
      </w:tblPr>
      <w:tblGrid>
        <w:gridCol w:w="1276"/>
        <w:gridCol w:w="7512"/>
      </w:tblGrid>
      <w:tr w:rsidR="006814FB" w14:paraId="1A2A8797" w14:textId="77777777" w:rsidTr="00F06B7D">
        <w:tc>
          <w:tcPr>
            <w:tcW w:w="1276" w:type="dxa"/>
            <w:tcBorders>
              <w:top w:val="nil"/>
              <w:left w:val="nil"/>
              <w:bottom w:val="nil"/>
              <w:right w:val="nil"/>
            </w:tcBorders>
            <w:shd w:val="clear" w:color="auto" w:fill="auto"/>
          </w:tcPr>
          <w:p w14:paraId="0F056C98" w14:textId="105EFD9A" w:rsidR="006814FB" w:rsidRDefault="006814FB" w:rsidP="006814FB">
            <w:pPr>
              <w:pStyle w:val="Literatur"/>
              <w:ind w:left="0" w:firstLine="0"/>
              <w:rPr>
                <w:b/>
                <w:lang w:val="en-GB"/>
              </w:rPr>
            </w:pPr>
            <w:r w:rsidRPr="0076048A">
              <w:rPr>
                <w:lang w:val="en-GB"/>
              </w:rPr>
              <w:t>[1]</w:t>
            </w:r>
          </w:p>
        </w:tc>
        <w:tc>
          <w:tcPr>
            <w:tcW w:w="7512" w:type="dxa"/>
            <w:tcBorders>
              <w:top w:val="nil"/>
              <w:left w:val="nil"/>
              <w:bottom w:val="nil"/>
              <w:right w:val="nil"/>
            </w:tcBorders>
            <w:shd w:val="clear" w:color="auto" w:fill="auto"/>
          </w:tcPr>
          <w:p w14:paraId="2733A9C1" w14:textId="77777777" w:rsidR="006814FB" w:rsidRDefault="006814FB" w:rsidP="006814FB">
            <w:pPr>
              <w:pStyle w:val="Literatur"/>
              <w:rPr>
                <w:lang w:val="en-GB"/>
              </w:rPr>
            </w:pPr>
            <w:r w:rsidRPr="001D4691">
              <w:rPr>
                <w:lang w:val="en-GB"/>
              </w:rPr>
              <w:t>Kath,</w:t>
            </w:r>
            <w:r>
              <w:rPr>
                <w:lang w:val="en-GB"/>
              </w:rPr>
              <w:t xml:space="preserve"> Christopher; Ziel, Florian.:</w:t>
            </w:r>
            <w:r w:rsidRPr="001D4691">
              <w:rPr>
                <w:lang w:val="en-GB"/>
              </w:rPr>
              <w:t xml:space="preserve"> The value of forecasts:</w:t>
            </w:r>
            <w:r>
              <w:rPr>
                <w:lang w:val="en-GB"/>
              </w:rPr>
              <w:t xml:space="preserve"> </w:t>
            </w:r>
            <w:r w:rsidRPr="001D4691">
              <w:rPr>
                <w:lang w:val="en-GB"/>
              </w:rPr>
              <w:t>Quantifying the economic</w:t>
            </w:r>
            <w:r>
              <w:rPr>
                <w:lang w:val="en-GB"/>
              </w:rPr>
              <w:t xml:space="preserve"> </w:t>
            </w:r>
          </w:p>
          <w:p w14:paraId="04041C6C" w14:textId="77777777" w:rsidR="006814FB" w:rsidRDefault="006814FB" w:rsidP="006814FB">
            <w:pPr>
              <w:pStyle w:val="Literatur"/>
              <w:rPr>
                <w:lang w:val="en-GB"/>
              </w:rPr>
            </w:pPr>
            <w:r w:rsidRPr="001D4691">
              <w:rPr>
                <w:lang w:val="en-GB"/>
              </w:rPr>
              <w:t>Gains of accurate quarter-hourly electricity price forecasts.</w:t>
            </w:r>
            <w:r>
              <w:rPr>
                <w:lang w:val="en-GB"/>
              </w:rPr>
              <w:t xml:space="preserve"> </w:t>
            </w:r>
            <w:r w:rsidRPr="001D4691">
              <w:rPr>
                <w:lang w:val="en-GB"/>
              </w:rPr>
              <w:t xml:space="preserve">Eneeco (2018), </w:t>
            </w:r>
          </w:p>
          <w:p w14:paraId="5E23B02D" w14:textId="2CC2FD67" w:rsidR="006814FB" w:rsidRPr="003D053C" w:rsidRDefault="006814FB" w:rsidP="006814FB">
            <w:pPr>
              <w:pStyle w:val="Literatur"/>
              <w:ind w:left="0" w:firstLine="0"/>
              <w:rPr>
                <w:lang w:val="en-GB"/>
              </w:rPr>
            </w:pPr>
            <w:r w:rsidRPr="001D4691">
              <w:rPr>
                <w:lang w:val="en-GB"/>
              </w:rPr>
              <w:t>doi:10.1016/j.eneco.2018.10.005</w:t>
            </w:r>
          </w:p>
        </w:tc>
      </w:tr>
      <w:tr w:rsidR="00F17C04" w14:paraId="1A93A3C3" w14:textId="77777777" w:rsidTr="00F06B7D">
        <w:tc>
          <w:tcPr>
            <w:tcW w:w="1276" w:type="dxa"/>
            <w:tcBorders>
              <w:top w:val="nil"/>
              <w:left w:val="nil"/>
              <w:bottom w:val="nil"/>
              <w:right w:val="nil"/>
            </w:tcBorders>
            <w:shd w:val="clear" w:color="auto" w:fill="auto"/>
          </w:tcPr>
          <w:p w14:paraId="42168BE0" w14:textId="4A6CDC6E" w:rsidR="00F17C04" w:rsidRDefault="00F17C04" w:rsidP="00F17C04">
            <w:pPr>
              <w:pStyle w:val="Literatur"/>
              <w:ind w:left="0" w:firstLine="0"/>
              <w:rPr>
                <w:b/>
                <w:lang w:val="en-GB"/>
              </w:rPr>
            </w:pPr>
            <w:r>
              <w:rPr>
                <w:b/>
                <w:lang w:val="en-GB"/>
              </w:rPr>
              <w:t>[2]</w:t>
            </w:r>
          </w:p>
        </w:tc>
        <w:tc>
          <w:tcPr>
            <w:tcW w:w="7512" w:type="dxa"/>
            <w:tcBorders>
              <w:top w:val="nil"/>
              <w:left w:val="nil"/>
              <w:bottom w:val="nil"/>
              <w:right w:val="nil"/>
            </w:tcBorders>
            <w:shd w:val="clear" w:color="auto" w:fill="auto"/>
          </w:tcPr>
          <w:p w14:paraId="7600DFB9" w14:textId="5CB1ADE1" w:rsidR="00F17C04" w:rsidRPr="00133A37" w:rsidRDefault="00F17C04" w:rsidP="00F17C04">
            <w:pPr>
              <w:pStyle w:val="Literatur"/>
              <w:ind w:left="0" w:firstLine="0"/>
              <w:rPr>
                <w:lang w:val="en-GB"/>
              </w:rPr>
            </w:pPr>
            <w:r w:rsidRPr="003D053C">
              <w:rPr>
                <w:lang w:val="en-GB"/>
              </w:rPr>
              <w:t>Kern, Timo et al.: The value of intraday electricity trading –  Evaluating situation-dependent opportunity costs of flexible assets. München: Forschungsgesellschaft für Energiewirtschaft mbH, 2019.</w:t>
            </w:r>
          </w:p>
        </w:tc>
      </w:tr>
      <w:tr w:rsidR="00F17C04" w14:paraId="7894E2FD" w14:textId="77777777" w:rsidTr="00F06B7D">
        <w:tc>
          <w:tcPr>
            <w:tcW w:w="1276" w:type="dxa"/>
            <w:tcBorders>
              <w:top w:val="nil"/>
              <w:left w:val="nil"/>
              <w:bottom w:val="nil"/>
              <w:right w:val="nil"/>
            </w:tcBorders>
            <w:shd w:val="clear" w:color="auto" w:fill="auto"/>
          </w:tcPr>
          <w:p w14:paraId="6CA06C24" w14:textId="7D279B7F" w:rsidR="00F17C04" w:rsidRDefault="00F17C04" w:rsidP="00F17C04">
            <w:pPr>
              <w:pStyle w:val="Literatur"/>
              <w:ind w:left="0" w:firstLine="0"/>
              <w:rPr>
                <w:b/>
                <w:lang w:val="en-GB"/>
              </w:rPr>
            </w:pPr>
            <w:r>
              <w:rPr>
                <w:b/>
                <w:lang w:val="en-GB"/>
              </w:rPr>
              <w:t>[</w:t>
            </w:r>
            <w:r w:rsidR="00543035">
              <w:rPr>
                <w:b/>
                <w:lang w:val="en-GB"/>
              </w:rPr>
              <w:t>3</w:t>
            </w:r>
            <w:r>
              <w:rPr>
                <w:b/>
                <w:lang w:val="en-GB"/>
              </w:rPr>
              <w:t>]</w:t>
            </w:r>
          </w:p>
        </w:tc>
        <w:tc>
          <w:tcPr>
            <w:tcW w:w="7512" w:type="dxa"/>
            <w:tcBorders>
              <w:top w:val="nil"/>
              <w:left w:val="nil"/>
              <w:bottom w:val="nil"/>
              <w:right w:val="nil"/>
            </w:tcBorders>
            <w:shd w:val="clear" w:color="auto" w:fill="auto"/>
          </w:tcPr>
          <w:p w14:paraId="61619B6F" w14:textId="47A05651" w:rsidR="00F17C04" w:rsidRPr="003D053C" w:rsidRDefault="00F17C04" w:rsidP="00F17C04">
            <w:pPr>
              <w:pStyle w:val="Literatur"/>
              <w:ind w:left="0" w:firstLine="0"/>
              <w:rPr>
                <w:lang w:val="en-GB"/>
              </w:rPr>
            </w:pPr>
            <w:r w:rsidRPr="00133A37">
              <w:rPr>
                <w:lang w:val="en-GB"/>
              </w:rPr>
              <w:t>Maciejowska K</w:t>
            </w:r>
            <w:r>
              <w:rPr>
                <w:lang w:val="en-GB"/>
              </w:rPr>
              <w:t xml:space="preserve"> et al.:</w:t>
            </w:r>
            <w:r w:rsidRPr="00133A37">
              <w:rPr>
                <w:lang w:val="en-GB"/>
              </w:rPr>
              <w:t xml:space="preserve"> Day-Ahead vs. Intraday—Forecasting the Price Spread to Maximize Economic Benefits. Energies. 2019; 12(4):631. https://doi.org/10.3390/en12040631</w:t>
            </w:r>
          </w:p>
        </w:tc>
      </w:tr>
      <w:tr w:rsidR="00F17C04" w14:paraId="0B5DB224" w14:textId="77777777" w:rsidTr="00F06B7D">
        <w:tc>
          <w:tcPr>
            <w:tcW w:w="1276" w:type="dxa"/>
            <w:tcBorders>
              <w:top w:val="nil"/>
              <w:left w:val="nil"/>
              <w:bottom w:val="nil"/>
              <w:right w:val="nil"/>
            </w:tcBorders>
            <w:shd w:val="clear" w:color="auto" w:fill="auto"/>
          </w:tcPr>
          <w:p w14:paraId="0ACE8B2F" w14:textId="031DF04A" w:rsidR="00F17C04" w:rsidRPr="003D053C" w:rsidRDefault="00F17C04" w:rsidP="00F17C04">
            <w:pPr>
              <w:pStyle w:val="Literatur"/>
              <w:ind w:left="0" w:firstLine="0"/>
              <w:rPr>
                <w:b/>
                <w:lang w:val="en-GB"/>
              </w:rPr>
            </w:pPr>
            <w:r>
              <w:rPr>
                <w:b/>
                <w:lang w:val="en-GB"/>
              </w:rPr>
              <w:t>[</w:t>
            </w:r>
            <w:r w:rsidR="00543035">
              <w:rPr>
                <w:b/>
                <w:lang w:val="en-GB"/>
              </w:rPr>
              <w:t>4</w:t>
            </w:r>
            <w:r>
              <w:rPr>
                <w:b/>
                <w:lang w:val="en-GB"/>
              </w:rPr>
              <w:t>]</w:t>
            </w:r>
          </w:p>
        </w:tc>
        <w:tc>
          <w:tcPr>
            <w:tcW w:w="7512" w:type="dxa"/>
            <w:tcBorders>
              <w:top w:val="nil"/>
              <w:left w:val="nil"/>
              <w:bottom w:val="nil"/>
              <w:right w:val="nil"/>
            </w:tcBorders>
            <w:shd w:val="clear" w:color="auto" w:fill="auto"/>
          </w:tcPr>
          <w:p w14:paraId="30BE30AA" w14:textId="09EBB47B" w:rsidR="00F17C04" w:rsidRPr="003D053C" w:rsidRDefault="00F17C04" w:rsidP="00F17C04">
            <w:pPr>
              <w:pStyle w:val="Literatur"/>
              <w:ind w:left="0" w:firstLine="0"/>
              <w:rPr>
                <w:lang w:val="en-GB"/>
              </w:rPr>
            </w:pPr>
            <w:r w:rsidRPr="00936B52">
              <w:t xml:space="preserve">von Roon, Serafin et al.: Limitierte Gebote im Day-Ahead Handel als Maß für Liquidität und Preisaufschlag im Intraday-Markt. </w:t>
            </w:r>
            <w:r w:rsidRPr="003D053C">
              <w:rPr>
                <w:lang w:val="en-GB"/>
              </w:rPr>
              <w:t>München: Forschungsgesellschaft für Energiewirtschaft mbH, 2015.</w:t>
            </w:r>
          </w:p>
        </w:tc>
      </w:tr>
      <w:tr w:rsidR="00F17C04" w14:paraId="29295F2A" w14:textId="77777777" w:rsidTr="00F06B7D">
        <w:tc>
          <w:tcPr>
            <w:tcW w:w="1276" w:type="dxa"/>
            <w:tcBorders>
              <w:top w:val="nil"/>
              <w:left w:val="nil"/>
              <w:bottom w:val="nil"/>
              <w:right w:val="nil"/>
            </w:tcBorders>
            <w:shd w:val="clear" w:color="auto" w:fill="auto"/>
          </w:tcPr>
          <w:p w14:paraId="15BE6CA0" w14:textId="28260C21" w:rsidR="00F17C04" w:rsidRPr="003D053C" w:rsidRDefault="00F17C04" w:rsidP="00F17C04">
            <w:pPr>
              <w:pStyle w:val="Literatur"/>
              <w:ind w:left="0" w:firstLine="0"/>
              <w:rPr>
                <w:b/>
                <w:lang w:val="en-GB"/>
              </w:rPr>
            </w:pPr>
            <w:r>
              <w:rPr>
                <w:b/>
                <w:lang w:val="en-GB"/>
              </w:rPr>
              <w:t>[5]</w:t>
            </w:r>
          </w:p>
        </w:tc>
        <w:tc>
          <w:tcPr>
            <w:tcW w:w="7512" w:type="dxa"/>
            <w:tcBorders>
              <w:top w:val="nil"/>
              <w:left w:val="nil"/>
              <w:bottom w:val="nil"/>
              <w:right w:val="nil"/>
            </w:tcBorders>
            <w:shd w:val="clear" w:color="auto" w:fill="auto"/>
          </w:tcPr>
          <w:p w14:paraId="455A02C7" w14:textId="05865FBE" w:rsidR="00F17C04" w:rsidRPr="003D053C" w:rsidRDefault="00F17C04" w:rsidP="00F17C04">
            <w:pPr>
              <w:pStyle w:val="Literatur"/>
              <w:ind w:left="0" w:firstLine="0"/>
              <w:rPr>
                <w:lang w:val="en-GB"/>
              </w:rPr>
            </w:pPr>
            <w:r w:rsidRPr="003D053C">
              <w:rPr>
                <w:lang w:val="en-GB"/>
              </w:rPr>
              <w:t>Kern, Timo et al.: Integrating Bidirectionally Chargeable Electric Vehicles into the Electricity Markets. Basel, Switzerland: Energies 2020, 13(21), 5812, 2020.</w:t>
            </w:r>
          </w:p>
        </w:tc>
      </w:tr>
    </w:tbl>
    <w:p w14:paraId="08E12CCB" w14:textId="08EE2452" w:rsidR="003627A4" w:rsidRDefault="003627A4" w:rsidP="002E7166">
      <w:pPr>
        <w:pStyle w:val="Literatur"/>
        <w:ind w:left="0" w:firstLine="0"/>
        <w:jc w:val="left"/>
        <w:rPr>
          <w:lang w:val="en-GB"/>
        </w:rPr>
      </w:pPr>
    </w:p>
    <w:p w14:paraId="2F8A3B45" w14:textId="77777777" w:rsidR="002E2D8B" w:rsidRDefault="002E2D8B" w:rsidP="002E7166">
      <w:pPr>
        <w:pStyle w:val="Literatur"/>
        <w:ind w:left="0" w:firstLine="0"/>
        <w:jc w:val="left"/>
        <w:rPr>
          <w:lang w:val="en-GB"/>
        </w:rPr>
      </w:pPr>
    </w:p>
    <w:p w14:paraId="7A4B6955" w14:textId="77777777" w:rsidR="002E2D8B" w:rsidRPr="003D053C" w:rsidRDefault="002E2D8B" w:rsidP="004D320E">
      <w:pPr>
        <w:pStyle w:val="Literatur"/>
        <w:ind w:left="0" w:firstLine="0"/>
        <w:jc w:val="left"/>
        <w:rPr>
          <w:lang w:val="en-GB"/>
        </w:rPr>
      </w:pPr>
    </w:p>
    <w:sectPr w:rsidR="002E2D8B" w:rsidRPr="003D053C">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19A7B8" w14:textId="77777777" w:rsidR="004958A5" w:rsidRDefault="004958A5">
      <w:r>
        <w:separator/>
      </w:r>
    </w:p>
  </w:endnote>
  <w:endnote w:type="continuationSeparator" w:id="0">
    <w:p w14:paraId="0B928EA8" w14:textId="77777777" w:rsidR="004958A5" w:rsidRDefault="004958A5">
      <w:r>
        <w:continuationSeparator/>
      </w:r>
    </w:p>
  </w:endnote>
  <w:endnote w:type="continuationNotice" w:id="1">
    <w:p w14:paraId="51DF0CD6" w14:textId="77777777" w:rsidR="004958A5" w:rsidRDefault="004958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67E405" w14:textId="77777777" w:rsidR="004958A5" w:rsidRDefault="004958A5">
      <w:r>
        <w:separator/>
      </w:r>
    </w:p>
  </w:footnote>
  <w:footnote w:type="continuationSeparator" w:id="0">
    <w:p w14:paraId="183C65FD" w14:textId="77777777" w:rsidR="004958A5" w:rsidRDefault="004958A5">
      <w:r>
        <w:continuationSeparator/>
      </w:r>
    </w:p>
  </w:footnote>
  <w:footnote w:type="continuationNotice" w:id="1">
    <w:p w14:paraId="7A588BA8" w14:textId="77777777" w:rsidR="004958A5" w:rsidRDefault="004958A5"/>
  </w:footnote>
  <w:footnote w:id="2">
    <w:p w14:paraId="1D5B89DF" w14:textId="6C9FCCB7" w:rsidR="006E794A" w:rsidRPr="00FB69AE" w:rsidRDefault="006E794A" w:rsidP="006E794A">
      <w:r w:rsidRPr="00A115D2">
        <w:rPr>
          <w:rStyle w:val="FootnoteReference"/>
        </w:rPr>
        <w:footnoteRef/>
      </w:r>
      <w:r w:rsidR="0593365D" w:rsidRPr="00D53E86">
        <w:t xml:space="preserve"> </w:t>
      </w:r>
      <w:r w:rsidR="0593365D" w:rsidRPr="00BA2979">
        <w:t>Am Blütenanger 71, 80995 München, +49</w:t>
      </w:r>
      <w:r w:rsidR="0593365D">
        <w:t xml:space="preserve"> </w:t>
      </w:r>
      <w:r w:rsidR="0593365D" w:rsidRPr="00BA2979">
        <w:t>(0)89</w:t>
      </w:r>
      <w:r w:rsidR="0593365D">
        <w:t xml:space="preserve"> </w:t>
      </w:r>
      <w:r w:rsidR="0593365D" w:rsidRPr="00BA2979">
        <w:t>158121-</w:t>
      </w:r>
      <w:r w:rsidR="00A150D1">
        <w:t>67</w:t>
      </w:r>
      <w:r w:rsidR="0593365D" w:rsidRPr="00BA2979">
        <w:t>,</w:t>
      </w:r>
      <w:r w:rsidR="0593365D">
        <w:t xml:space="preserve"> rharper</w:t>
      </w:r>
      <w:r w:rsidR="0593365D" w:rsidRPr="00BA2979">
        <w:t>@ffe.de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D5071F"/>
    <w:multiLevelType w:val="multilevel"/>
    <w:tmpl w:val="0978BA90"/>
    <w:numStyleLink w:val="Aufzhlung"/>
  </w:abstractNum>
  <w:abstractNum w:abstractNumId="1" w15:restartNumberingAfterBreak="0">
    <w:nsid w:val="17567494"/>
    <w:multiLevelType w:val="hybridMultilevel"/>
    <w:tmpl w:val="0978BA90"/>
    <w:lvl w:ilvl="0" w:tplc="085E6674">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5D75967"/>
    <w:multiLevelType w:val="multilevel"/>
    <w:tmpl w:val="0978BA90"/>
    <w:numStyleLink w:val="Aufzhlung"/>
  </w:abstractNum>
  <w:abstractNum w:abstractNumId="3" w15:restartNumberingAfterBreak="0">
    <w:nsid w:val="6B5E4F19"/>
    <w:multiLevelType w:val="multilevel"/>
    <w:tmpl w:val="0978BA90"/>
    <w:styleLink w:val="Aufzhlung"/>
    <w:lvl w:ilvl="0">
      <w:start w:val="1"/>
      <w:numFmt w:val="bullet"/>
      <w:lvlText w:val="-"/>
      <w:lvlJc w:val="left"/>
      <w:pPr>
        <w:tabs>
          <w:tab w:val="num" w:pos="720"/>
        </w:tabs>
        <w:ind w:left="720" w:hanging="360"/>
      </w:pPr>
      <w:rPr>
        <w:rFonts w:ascii="Arial" w:hAnsi="Arial" w:cs="Arial"/>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K0MDM1NjEzMDQ2NDFX0lEKTi0uzszPAykwrAUAX6v8WSwAAAA="/>
  </w:docVars>
  <w:rsids>
    <w:rsidRoot w:val="005E4D4F"/>
    <w:rsid w:val="000041D7"/>
    <w:rsid w:val="00010E92"/>
    <w:rsid w:val="000170EF"/>
    <w:rsid w:val="00017B21"/>
    <w:rsid w:val="00040E58"/>
    <w:rsid w:val="00054353"/>
    <w:rsid w:val="00063115"/>
    <w:rsid w:val="00073250"/>
    <w:rsid w:val="000774A0"/>
    <w:rsid w:val="0008327A"/>
    <w:rsid w:val="000851E2"/>
    <w:rsid w:val="00093756"/>
    <w:rsid w:val="00096104"/>
    <w:rsid w:val="00097C54"/>
    <w:rsid w:val="000A0761"/>
    <w:rsid w:val="000A0E8F"/>
    <w:rsid w:val="000B00AA"/>
    <w:rsid w:val="000B59BF"/>
    <w:rsid w:val="000D210F"/>
    <w:rsid w:val="000D478E"/>
    <w:rsid w:val="000D5A07"/>
    <w:rsid w:val="000E5BDC"/>
    <w:rsid w:val="000F0E62"/>
    <w:rsid w:val="000F34EA"/>
    <w:rsid w:val="001168DA"/>
    <w:rsid w:val="00130016"/>
    <w:rsid w:val="00133A37"/>
    <w:rsid w:val="00134EF7"/>
    <w:rsid w:val="001370A7"/>
    <w:rsid w:val="00142935"/>
    <w:rsid w:val="00154FAD"/>
    <w:rsid w:val="00157443"/>
    <w:rsid w:val="00157F5B"/>
    <w:rsid w:val="001610AD"/>
    <w:rsid w:val="0017558E"/>
    <w:rsid w:val="001807BC"/>
    <w:rsid w:val="001812F8"/>
    <w:rsid w:val="0019117D"/>
    <w:rsid w:val="001924DD"/>
    <w:rsid w:val="001A27ED"/>
    <w:rsid w:val="001A711B"/>
    <w:rsid w:val="001D4691"/>
    <w:rsid w:val="001E7824"/>
    <w:rsid w:val="002014D3"/>
    <w:rsid w:val="00202307"/>
    <w:rsid w:val="002032E7"/>
    <w:rsid w:val="00204C88"/>
    <w:rsid w:val="002078BC"/>
    <w:rsid w:val="00212E21"/>
    <w:rsid w:val="00215ED7"/>
    <w:rsid w:val="00222856"/>
    <w:rsid w:val="00227125"/>
    <w:rsid w:val="00236179"/>
    <w:rsid w:val="00236B18"/>
    <w:rsid w:val="002450DB"/>
    <w:rsid w:val="00245C6B"/>
    <w:rsid w:val="00250B31"/>
    <w:rsid w:val="002544D6"/>
    <w:rsid w:val="002545AE"/>
    <w:rsid w:val="00255DC2"/>
    <w:rsid w:val="00262FD5"/>
    <w:rsid w:val="00265232"/>
    <w:rsid w:val="00270702"/>
    <w:rsid w:val="0027207A"/>
    <w:rsid w:val="00273DE3"/>
    <w:rsid w:val="00275F7D"/>
    <w:rsid w:val="00281848"/>
    <w:rsid w:val="0029327B"/>
    <w:rsid w:val="00293636"/>
    <w:rsid w:val="002946B8"/>
    <w:rsid w:val="002A1223"/>
    <w:rsid w:val="002A19C2"/>
    <w:rsid w:val="002B1E78"/>
    <w:rsid w:val="002D1D45"/>
    <w:rsid w:val="002D23BC"/>
    <w:rsid w:val="002D4F28"/>
    <w:rsid w:val="002E1403"/>
    <w:rsid w:val="002E2D8B"/>
    <w:rsid w:val="002E49BA"/>
    <w:rsid w:val="002E7166"/>
    <w:rsid w:val="002F39E0"/>
    <w:rsid w:val="002F3CEE"/>
    <w:rsid w:val="002F4641"/>
    <w:rsid w:val="00302904"/>
    <w:rsid w:val="00307737"/>
    <w:rsid w:val="00311119"/>
    <w:rsid w:val="00324A35"/>
    <w:rsid w:val="00327151"/>
    <w:rsid w:val="00327802"/>
    <w:rsid w:val="00331ADA"/>
    <w:rsid w:val="00335F66"/>
    <w:rsid w:val="00337B50"/>
    <w:rsid w:val="00340460"/>
    <w:rsid w:val="00340519"/>
    <w:rsid w:val="00340678"/>
    <w:rsid w:val="0034165C"/>
    <w:rsid w:val="00345A59"/>
    <w:rsid w:val="003509B0"/>
    <w:rsid w:val="00350F98"/>
    <w:rsid w:val="00354B8C"/>
    <w:rsid w:val="003627A4"/>
    <w:rsid w:val="00364129"/>
    <w:rsid w:val="00372E07"/>
    <w:rsid w:val="00377201"/>
    <w:rsid w:val="00380872"/>
    <w:rsid w:val="00387DC5"/>
    <w:rsid w:val="00393CCB"/>
    <w:rsid w:val="003B676F"/>
    <w:rsid w:val="003B758C"/>
    <w:rsid w:val="003B7A8B"/>
    <w:rsid w:val="003C18BF"/>
    <w:rsid w:val="003C20DF"/>
    <w:rsid w:val="003C2562"/>
    <w:rsid w:val="003C28FE"/>
    <w:rsid w:val="003C2B30"/>
    <w:rsid w:val="003C5DDE"/>
    <w:rsid w:val="003D053C"/>
    <w:rsid w:val="003D5BB0"/>
    <w:rsid w:val="003D6B85"/>
    <w:rsid w:val="003D7045"/>
    <w:rsid w:val="003E1F3F"/>
    <w:rsid w:val="003E1FB8"/>
    <w:rsid w:val="003E48F6"/>
    <w:rsid w:val="00402819"/>
    <w:rsid w:val="00404253"/>
    <w:rsid w:val="004065B1"/>
    <w:rsid w:val="00420525"/>
    <w:rsid w:val="004239C8"/>
    <w:rsid w:val="00425101"/>
    <w:rsid w:val="00425374"/>
    <w:rsid w:val="00426256"/>
    <w:rsid w:val="004309AC"/>
    <w:rsid w:val="00432FE2"/>
    <w:rsid w:val="004436C6"/>
    <w:rsid w:val="004455FE"/>
    <w:rsid w:val="00454BA8"/>
    <w:rsid w:val="004659FC"/>
    <w:rsid w:val="00472ED0"/>
    <w:rsid w:val="00475147"/>
    <w:rsid w:val="00475E33"/>
    <w:rsid w:val="00476075"/>
    <w:rsid w:val="00480CF0"/>
    <w:rsid w:val="00483B87"/>
    <w:rsid w:val="0049044B"/>
    <w:rsid w:val="0049457A"/>
    <w:rsid w:val="004958A5"/>
    <w:rsid w:val="004A74A4"/>
    <w:rsid w:val="004B2273"/>
    <w:rsid w:val="004C62EE"/>
    <w:rsid w:val="004C78C2"/>
    <w:rsid w:val="004D320E"/>
    <w:rsid w:val="004D5F3D"/>
    <w:rsid w:val="004D7C5F"/>
    <w:rsid w:val="004E3279"/>
    <w:rsid w:val="005040A2"/>
    <w:rsid w:val="00505CD7"/>
    <w:rsid w:val="005137B6"/>
    <w:rsid w:val="005206D8"/>
    <w:rsid w:val="005235DE"/>
    <w:rsid w:val="00534ADB"/>
    <w:rsid w:val="00540ACB"/>
    <w:rsid w:val="00543035"/>
    <w:rsid w:val="00545224"/>
    <w:rsid w:val="00556ED3"/>
    <w:rsid w:val="00557D7C"/>
    <w:rsid w:val="005642C8"/>
    <w:rsid w:val="00573D5E"/>
    <w:rsid w:val="005846C9"/>
    <w:rsid w:val="0059620F"/>
    <w:rsid w:val="00596B07"/>
    <w:rsid w:val="005A150D"/>
    <w:rsid w:val="005A17BE"/>
    <w:rsid w:val="005A4AC4"/>
    <w:rsid w:val="005A7157"/>
    <w:rsid w:val="005B181D"/>
    <w:rsid w:val="005B1ADB"/>
    <w:rsid w:val="005B48AE"/>
    <w:rsid w:val="005B61CB"/>
    <w:rsid w:val="005C7FE5"/>
    <w:rsid w:val="005D4492"/>
    <w:rsid w:val="005D6B80"/>
    <w:rsid w:val="005E01D8"/>
    <w:rsid w:val="005E08C4"/>
    <w:rsid w:val="005E4D4F"/>
    <w:rsid w:val="005F5A0B"/>
    <w:rsid w:val="006131F9"/>
    <w:rsid w:val="00633A45"/>
    <w:rsid w:val="006531DB"/>
    <w:rsid w:val="00660DF3"/>
    <w:rsid w:val="00662525"/>
    <w:rsid w:val="00671C37"/>
    <w:rsid w:val="006814FB"/>
    <w:rsid w:val="00686C04"/>
    <w:rsid w:val="00696F23"/>
    <w:rsid w:val="006A497F"/>
    <w:rsid w:val="006A5810"/>
    <w:rsid w:val="006B273D"/>
    <w:rsid w:val="006B31DC"/>
    <w:rsid w:val="006B3BA9"/>
    <w:rsid w:val="006C2415"/>
    <w:rsid w:val="006D209A"/>
    <w:rsid w:val="006E05FC"/>
    <w:rsid w:val="006E712B"/>
    <w:rsid w:val="006E794A"/>
    <w:rsid w:val="006F0609"/>
    <w:rsid w:val="006F3CFE"/>
    <w:rsid w:val="007129FD"/>
    <w:rsid w:val="00731655"/>
    <w:rsid w:val="0073273D"/>
    <w:rsid w:val="007343F6"/>
    <w:rsid w:val="007378C8"/>
    <w:rsid w:val="00741EC0"/>
    <w:rsid w:val="00747E71"/>
    <w:rsid w:val="007536AA"/>
    <w:rsid w:val="00757351"/>
    <w:rsid w:val="0076048A"/>
    <w:rsid w:val="0076097B"/>
    <w:rsid w:val="00763680"/>
    <w:rsid w:val="007708CF"/>
    <w:rsid w:val="00772A9D"/>
    <w:rsid w:val="00781071"/>
    <w:rsid w:val="00792FE9"/>
    <w:rsid w:val="00794E4F"/>
    <w:rsid w:val="007B3396"/>
    <w:rsid w:val="007C53B9"/>
    <w:rsid w:val="007D4E69"/>
    <w:rsid w:val="007D4EDC"/>
    <w:rsid w:val="007E0FEA"/>
    <w:rsid w:val="007F0426"/>
    <w:rsid w:val="007F36E2"/>
    <w:rsid w:val="007F4650"/>
    <w:rsid w:val="00803917"/>
    <w:rsid w:val="0080734C"/>
    <w:rsid w:val="0081250A"/>
    <w:rsid w:val="00823E84"/>
    <w:rsid w:val="0082646F"/>
    <w:rsid w:val="00831CA1"/>
    <w:rsid w:val="00835B51"/>
    <w:rsid w:val="008618EA"/>
    <w:rsid w:val="00862781"/>
    <w:rsid w:val="0086381E"/>
    <w:rsid w:val="00867D85"/>
    <w:rsid w:val="0087125D"/>
    <w:rsid w:val="00880A9E"/>
    <w:rsid w:val="0088110F"/>
    <w:rsid w:val="008865E8"/>
    <w:rsid w:val="00886E38"/>
    <w:rsid w:val="008902E4"/>
    <w:rsid w:val="00892C32"/>
    <w:rsid w:val="008A2818"/>
    <w:rsid w:val="008A2FC5"/>
    <w:rsid w:val="008A3A08"/>
    <w:rsid w:val="008C514D"/>
    <w:rsid w:val="008C54C2"/>
    <w:rsid w:val="008C5695"/>
    <w:rsid w:val="008D0733"/>
    <w:rsid w:val="008D7ADF"/>
    <w:rsid w:val="008E34C9"/>
    <w:rsid w:val="008F263D"/>
    <w:rsid w:val="008F3A6B"/>
    <w:rsid w:val="00900DE1"/>
    <w:rsid w:val="0090546E"/>
    <w:rsid w:val="009134B7"/>
    <w:rsid w:val="00925119"/>
    <w:rsid w:val="0093265B"/>
    <w:rsid w:val="00934704"/>
    <w:rsid w:val="00936B52"/>
    <w:rsid w:val="00946554"/>
    <w:rsid w:val="00947A13"/>
    <w:rsid w:val="00961EA5"/>
    <w:rsid w:val="00962571"/>
    <w:rsid w:val="009629C5"/>
    <w:rsid w:val="00964F01"/>
    <w:rsid w:val="00965104"/>
    <w:rsid w:val="009803F3"/>
    <w:rsid w:val="009812E5"/>
    <w:rsid w:val="0098145A"/>
    <w:rsid w:val="00981A41"/>
    <w:rsid w:val="00985087"/>
    <w:rsid w:val="00995661"/>
    <w:rsid w:val="009A2E24"/>
    <w:rsid w:val="009B0910"/>
    <w:rsid w:val="009B7ACB"/>
    <w:rsid w:val="009B7EA9"/>
    <w:rsid w:val="009C4C03"/>
    <w:rsid w:val="009C747C"/>
    <w:rsid w:val="009D057C"/>
    <w:rsid w:val="009D613E"/>
    <w:rsid w:val="009D6BB4"/>
    <w:rsid w:val="00A07737"/>
    <w:rsid w:val="00A07F65"/>
    <w:rsid w:val="00A11123"/>
    <w:rsid w:val="00A150D1"/>
    <w:rsid w:val="00A156E4"/>
    <w:rsid w:val="00A1601D"/>
    <w:rsid w:val="00A34658"/>
    <w:rsid w:val="00A45F0F"/>
    <w:rsid w:val="00A46AF6"/>
    <w:rsid w:val="00A52557"/>
    <w:rsid w:val="00A5579C"/>
    <w:rsid w:val="00A6148D"/>
    <w:rsid w:val="00A65909"/>
    <w:rsid w:val="00A66F2F"/>
    <w:rsid w:val="00A6789A"/>
    <w:rsid w:val="00A76972"/>
    <w:rsid w:val="00A7718F"/>
    <w:rsid w:val="00A8584E"/>
    <w:rsid w:val="00A85DFF"/>
    <w:rsid w:val="00A85FC8"/>
    <w:rsid w:val="00A868C5"/>
    <w:rsid w:val="00AA3FE0"/>
    <w:rsid w:val="00AA6438"/>
    <w:rsid w:val="00AB0927"/>
    <w:rsid w:val="00AD45C1"/>
    <w:rsid w:val="00AD6479"/>
    <w:rsid w:val="00AF0732"/>
    <w:rsid w:val="00AF2129"/>
    <w:rsid w:val="00AF3BCF"/>
    <w:rsid w:val="00AF7F76"/>
    <w:rsid w:val="00B05971"/>
    <w:rsid w:val="00B1043A"/>
    <w:rsid w:val="00B12614"/>
    <w:rsid w:val="00B210E1"/>
    <w:rsid w:val="00B32E7A"/>
    <w:rsid w:val="00B34DCE"/>
    <w:rsid w:val="00B37808"/>
    <w:rsid w:val="00B4330A"/>
    <w:rsid w:val="00B461C3"/>
    <w:rsid w:val="00B51BD0"/>
    <w:rsid w:val="00B57189"/>
    <w:rsid w:val="00B57391"/>
    <w:rsid w:val="00B64E3A"/>
    <w:rsid w:val="00B927EE"/>
    <w:rsid w:val="00B96FC4"/>
    <w:rsid w:val="00B971D7"/>
    <w:rsid w:val="00BA2979"/>
    <w:rsid w:val="00BA3167"/>
    <w:rsid w:val="00BB22AF"/>
    <w:rsid w:val="00BB5825"/>
    <w:rsid w:val="00BC45A5"/>
    <w:rsid w:val="00BD352B"/>
    <w:rsid w:val="00BD4CD3"/>
    <w:rsid w:val="00BE71AA"/>
    <w:rsid w:val="00BE7D6E"/>
    <w:rsid w:val="00BF05FA"/>
    <w:rsid w:val="00BF4CA2"/>
    <w:rsid w:val="00C04E2A"/>
    <w:rsid w:val="00C068E8"/>
    <w:rsid w:val="00C2069A"/>
    <w:rsid w:val="00C30ED1"/>
    <w:rsid w:val="00C41101"/>
    <w:rsid w:val="00C435FA"/>
    <w:rsid w:val="00C44620"/>
    <w:rsid w:val="00C47128"/>
    <w:rsid w:val="00C6436B"/>
    <w:rsid w:val="00C72278"/>
    <w:rsid w:val="00C92424"/>
    <w:rsid w:val="00CA40CF"/>
    <w:rsid w:val="00CA5454"/>
    <w:rsid w:val="00CA799F"/>
    <w:rsid w:val="00CB418D"/>
    <w:rsid w:val="00CB56CC"/>
    <w:rsid w:val="00CC269F"/>
    <w:rsid w:val="00CC2BCE"/>
    <w:rsid w:val="00CC3CF2"/>
    <w:rsid w:val="00CD7DEA"/>
    <w:rsid w:val="00CE1A70"/>
    <w:rsid w:val="00CE79A6"/>
    <w:rsid w:val="00CF0E52"/>
    <w:rsid w:val="00CF44D2"/>
    <w:rsid w:val="00CF478B"/>
    <w:rsid w:val="00D049FE"/>
    <w:rsid w:val="00D06C53"/>
    <w:rsid w:val="00D07D5D"/>
    <w:rsid w:val="00D11861"/>
    <w:rsid w:val="00D16DA4"/>
    <w:rsid w:val="00D25B10"/>
    <w:rsid w:val="00D31DB5"/>
    <w:rsid w:val="00D337AC"/>
    <w:rsid w:val="00D33FE9"/>
    <w:rsid w:val="00D34D68"/>
    <w:rsid w:val="00D36B22"/>
    <w:rsid w:val="00D53E86"/>
    <w:rsid w:val="00D601B4"/>
    <w:rsid w:val="00D605ED"/>
    <w:rsid w:val="00D62874"/>
    <w:rsid w:val="00D6402B"/>
    <w:rsid w:val="00D736F8"/>
    <w:rsid w:val="00D85843"/>
    <w:rsid w:val="00D86A4C"/>
    <w:rsid w:val="00D91349"/>
    <w:rsid w:val="00D927B0"/>
    <w:rsid w:val="00D9599A"/>
    <w:rsid w:val="00DA1685"/>
    <w:rsid w:val="00DA6351"/>
    <w:rsid w:val="00DB2314"/>
    <w:rsid w:val="00DC6F3E"/>
    <w:rsid w:val="00DC7BB9"/>
    <w:rsid w:val="00DD212F"/>
    <w:rsid w:val="00DD37C7"/>
    <w:rsid w:val="00DF2882"/>
    <w:rsid w:val="00DF3BEB"/>
    <w:rsid w:val="00E074B6"/>
    <w:rsid w:val="00E155B0"/>
    <w:rsid w:val="00E241B1"/>
    <w:rsid w:val="00E30001"/>
    <w:rsid w:val="00E411B8"/>
    <w:rsid w:val="00E520E6"/>
    <w:rsid w:val="00E5369B"/>
    <w:rsid w:val="00E554C2"/>
    <w:rsid w:val="00E63F30"/>
    <w:rsid w:val="00E761E5"/>
    <w:rsid w:val="00E8013D"/>
    <w:rsid w:val="00E82E1A"/>
    <w:rsid w:val="00E85EAC"/>
    <w:rsid w:val="00E870DB"/>
    <w:rsid w:val="00E93AF4"/>
    <w:rsid w:val="00EA48D0"/>
    <w:rsid w:val="00EB1818"/>
    <w:rsid w:val="00EB45CA"/>
    <w:rsid w:val="00EC07C2"/>
    <w:rsid w:val="00EC3EAF"/>
    <w:rsid w:val="00EE2D0F"/>
    <w:rsid w:val="00EE762E"/>
    <w:rsid w:val="00EF3ADC"/>
    <w:rsid w:val="00EF5B7E"/>
    <w:rsid w:val="00EF5D09"/>
    <w:rsid w:val="00F020B9"/>
    <w:rsid w:val="00F05028"/>
    <w:rsid w:val="00F06B7D"/>
    <w:rsid w:val="00F1169C"/>
    <w:rsid w:val="00F12CC3"/>
    <w:rsid w:val="00F13131"/>
    <w:rsid w:val="00F132F7"/>
    <w:rsid w:val="00F13A76"/>
    <w:rsid w:val="00F17C04"/>
    <w:rsid w:val="00F21DF7"/>
    <w:rsid w:val="00F42126"/>
    <w:rsid w:val="00F43917"/>
    <w:rsid w:val="00F61B73"/>
    <w:rsid w:val="00F639B3"/>
    <w:rsid w:val="00F63A18"/>
    <w:rsid w:val="00F85CB0"/>
    <w:rsid w:val="00FA45AA"/>
    <w:rsid w:val="00FA7970"/>
    <w:rsid w:val="00FB69AE"/>
    <w:rsid w:val="00FD3BD8"/>
    <w:rsid w:val="00FD5D56"/>
    <w:rsid w:val="00FE3154"/>
    <w:rsid w:val="0593365D"/>
    <w:rsid w:val="08151675"/>
    <w:rsid w:val="0BBD1D35"/>
    <w:rsid w:val="123AF2E8"/>
    <w:rsid w:val="2A842C8F"/>
    <w:rsid w:val="32FBC57D"/>
    <w:rsid w:val="3CB0EDFB"/>
    <w:rsid w:val="418DAD6A"/>
    <w:rsid w:val="432A6541"/>
    <w:rsid w:val="4A94A19E"/>
    <w:rsid w:val="4B4D1676"/>
    <w:rsid w:val="518FD062"/>
    <w:rsid w:val="52E369CC"/>
    <w:rsid w:val="6566BBF7"/>
    <w:rsid w:val="68B688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B4B0D0"/>
  <w15:chartTrackingRefBased/>
  <w15:docId w15:val="{51D319D3-116A-4B90-8A89-B7A1A9B2C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125"/>
    <w:pPr>
      <w:jc w:val="both"/>
    </w:pPr>
    <w:rPr>
      <w:rFonts w:ascii="Arial" w:hAnsi="Arial"/>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 Reference Number,-E Fußnotenzeichen,(Diplomarbeit FZ),(Diplomarbeit FZ)1,(Diplomarbeit FZ)2,(Diplomarbeit FZ)3,(Diplomarbeit FZ)4,(Diplomarbeit FZ)5,(Diplomarbeit FZ)6,(Diplomarbeit FZ)7,(Diplomarbeit FZ)8,(Diplomarbeit FZ)9"/>
    <w:semiHidden/>
    <w:rsid w:val="005E4D4F"/>
    <w:rPr>
      <w:vertAlign w:val="superscript"/>
    </w:rPr>
  </w:style>
  <w:style w:type="paragraph" w:styleId="Title">
    <w:name w:val="Title"/>
    <w:basedOn w:val="Normal"/>
    <w:link w:val="TitleChar"/>
    <w:qFormat/>
    <w:rsid w:val="005E4D4F"/>
    <w:pPr>
      <w:pageBreakBefore/>
      <w:spacing w:before="120" w:after="120"/>
      <w:jc w:val="center"/>
    </w:pPr>
    <w:rPr>
      <w:b/>
      <w:snapToGrid w:val="0"/>
      <w:kern w:val="28"/>
      <w:sz w:val="32"/>
      <w:szCs w:val="20"/>
      <w:lang w:eastAsia="en-US"/>
    </w:rPr>
  </w:style>
  <w:style w:type="numbering" w:customStyle="1" w:styleId="Aufzhlung">
    <w:name w:val="Aufzählung"/>
    <w:basedOn w:val="NoList"/>
    <w:rsid w:val="00227125"/>
    <w:pPr>
      <w:numPr>
        <w:numId w:val="2"/>
      </w:numPr>
    </w:pPr>
  </w:style>
  <w:style w:type="paragraph" w:customStyle="1" w:styleId="Abbildungsbeschriftung">
    <w:name w:val="Abbildungsbeschriftung"/>
    <w:basedOn w:val="Normal"/>
    <w:rsid w:val="002946B8"/>
    <w:rPr>
      <w:i/>
      <w:iCs/>
    </w:rPr>
  </w:style>
  <w:style w:type="character" w:customStyle="1" w:styleId="TitleChar">
    <w:name w:val="Title Char"/>
    <w:link w:val="Title"/>
    <w:rsid w:val="005E4D4F"/>
    <w:rPr>
      <w:rFonts w:ascii="Arial" w:hAnsi="Arial"/>
      <w:b/>
      <w:snapToGrid w:val="0"/>
      <w:kern w:val="28"/>
      <w:sz w:val="32"/>
      <w:lang w:val="de-DE" w:eastAsia="en-US" w:bidi="ar-SA"/>
    </w:rPr>
  </w:style>
  <w:style w:type="paragraph" w:customStyle="1" w:styleId="Ueberschrift">
    <w:name w:val="Ueberschrift"/>
    <w:basedOn w:val="Normal"/>
    <w:link w:val="UeberschriftChar"/>
    <w:rsid w:val="00A07737"/>
    <w:pPr>
      <w:spacing w:before="120" w:after="120"/>
    </w:pPr>
    <w:rPr>
      <w:b/>
      <w:spacing w:val="-5"/>
      <w:sz w:val="22"/>
      <w:lang w:eastAsia="de-DE"/>
    </w:rPr>
  </w:style>
  <w:style w:type="character" w:customStyle="1" w:styleId="UeberschriftChar">
    <w:name w:val="Ueberschrift Char"/>
    <w:link w:val="Ueberschrift"/>
    <w:rsid w:val="00A07737"/>
    <w:rPr>
      <w:rFonts w:ascii="Arial" w:hAnsi="Arial"/>
      <w:b/>
      <w:spacing w:val="-5"/>
      <w:sz w:val="22"/>
      <w:szCs w:val="24"/>
      <w:lang w:val="de-DE" w:eastAsia="de-DE" w:bidi="ar-SA"/>
    </w:rPr>
  </w:style>
  <w:style w:type="paragraph" w:customStyle="1" w:styleId="Abstract-Titel">
    <w:name w:val="Abstract-Titel"/>
    <w:basedOn w:val="Title"/>
    <w:rsid w:val="005E4D4F"/>
    <w:rPr>
      <w:rFonts w:cs="Arial"/>
    </w:rPr>
  </w:style>
  <w:style w:type="paragraph" w:customStyle="1" w:styleId="AutorenOrganisation">
    <w:name w:val="Autoren &amp; Organisation"/>
    <w:basedOn w:val="Normal"/>
    <w:rsid w:val="00010E92"/>
    <w:pPr>
      <w:tabs>
        <w:tab w:val="left" w:pos="1560"/>
      </w:tabs>
      <w:overflowPunct w:val="0"/>
      <w:autoSpaceDE w:val="0"/>
      <w:autoSpaceDN w:val="0"/>
      <w:adjustRightInd w:val="0"/>
      <w:jc w:val="center"/>
      <w:textAlignment w:val="baseline"/>
    </w:pPr>
    <w:rPr>
      <w:rFonts w:cs="Arial"/>
      <w:color w:val="181512"/>
      <w:spacing w:val="-5"/>
      <w:sz w:val="24"/>
      <w:lang w:val="de-AT" w:eastAsia="de-DE"/>
    </w:rPr>
  </w:style>
  <w:style w:type="paragraph" w:customStyle="1" w:styleId="Literatur">
    <w:name w:val="Literatur"/>
    <w:basedOn w:val="Normal"/>
    <w:rsid w:val="005E4D4F"/>
    <w:pPr>
      <w:ind w:left="284" w:hanging="284"/>
    </w:pPr>
    <w:rPr>
      <w:rFonts w:cs="Arial"/>
      <w:szCs w:val="20"/>
      <w:lang w:eastAsia="de-DE"/>
    </w:rPr>
  </w:style>
  <w:style w:type="character" w:styleId="CommentReference">
    <w:name w:val="annotation reference"/>
    <w:basedOn w:val="DefaultParagraphFont"/>
    <w:uiPriority w:val="99"/>
    <w:semiHidden/>
    <w:unhideWhenUsed/>
    <w:rsid w:val="002E49BA"/>
    <w:rPr>
      <w:sz w:val="16"/>
      <w:szCs w:val="16"/>
    </w:rPr>
  </w:style>
  <w:style w:type="paragraph" w:styleId="CommentText">
    <w:name w:val="annotation text"/>
    <w:basedOn w:val="Normal"/>
    <w:link w:val="CommentTextChar"/>
    <w:uiPriority w:val="99"/>
    <w:semiHidden/>
    <w:unhideWhenUsed/>
    <w:rsid w:val="002E49BA"/>
    <w:rPr>
      <w:szCs w:val="20"/>
    </w:rPr>
  </w:style>
  <w:style w:type="character" w:customStyle="1" w:styleId="CommentTextChar">
    <w:name w:val="Comment Text Char"/>
    <w:basedOn w:val="DefaultParagraphFont"/>
    <w:link w:val="CommentText"/>
    <w:uiPriority w:val="99"/>
    <w:semiHidden/>
    <w:rsid w:val="002E49BA"/>
    <w:rPr>
      <w:rFonts w:ascii="Arial" w:hAnsi="Arial"/>
      <w:lang w:eastAsia="ko-KR"/>
    </w:rPr>
  </w:style>
  <w:style w:type="paragraph" w:styleId="CommentSubject">
    <w:name w:val="annotation subject"/>
    <w:basedOn w:val="CommentText"/>
    <w:next w:val="CommentText"/>
    <w:link w:val="CommentSubjectChar"/>
    <w:uiPriority w:val="99"/>
    <w:semiHidden/>
    <w:unhideWhenUsed/>
    <w:rsid w:val="002E49BA"/>
    <w:rPr>
      <w:b/>
      <w:bCs/>
    </w:rPr>
  </w:style>
  <w:style w:type="character" w:customStyle="1" w:styleId="CommentSubjectChar">
    <w:name w:val="Comment Subject Char"/>
    <w:basedOn w:val="CommentTextChar"/>
    <w:link w:val="CommentSubject"/>
    <w:uiPriority w:val="99"/>
    <w:semiHidden/>
    <w:rsid w:val="002E49BA"/>
    <w:rPr>
      <w:rFonts w:ascii="Arial" w:hAnsi="Arial"/>
      <w:b/>
      <w:bCs/>
      <w:lang w:eastAsia="ko-KR"/>
    </w:rPr>
  </w:style>
  <w:style w:type="character" w:styleId="Hyperlink">
    <w:name w:val="Hyperlink"/>
    <w:basedOn w:val="DefaultParagraphFont"/>
    <w:uiPriority w:val="99"/>
    <w:unhideWhenUsed/>
    <w:rsid w:val="009A2E24"/>
    <w:rPr>
      <w:color w:val="0563C1" w:themeColor="hyperlink"/>
      <w:u w:val="single"/>
    </w:rPr>
  </w:style>
  <w:style w:type="character" w:styleId="UnresolvedMention">
    <w:name w:val="Unresolved Mention"/>
    <w:basedOn w:val="DefaultParagraphFont"/>
    <w:uiPriority w:val="99"/>
    <w:unhideWhenUsed/>
    <w:rsid w:val="009A2E24"/>
    <w:rPr>
      <w:color w:val="605E5C"/>
      <w:shd w:val="clear" w:color="auto" w:fill="E1DFDD"/>
    </w:rPr>
  </w:style>
  <w:style w:type="table" w:styleId="TableGrid">
    <w:name w:val="Table Grid"/>
    <w:basedOn w:val="TableNormal"/>
    <w:uiPriority w:val="59"/>
    <w:rsid w:val="003627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2545AE"/>
    <w:pPr>
      <w:tabs>
        <w:tab w:val="center" w:pos="4536"/>
        <w:tab w:val="right" w:pos="9072"/>
      </w:tabs>
    </w:pPr>
  </w:style>
  <w:style w:type="character" w:customStyle="1" w:styleId="HeaderChar">
    <w:name w:val="Header Char"/>
    <w:basedOn w:val="DefaultParagraphFont"/>
    <w:link w:val="Header"/>
    <w:uiPriority w:val="99"/>
    <w:semiHidden/>
    <w:rsid w:val="002545AE"/>
    <w:rPr>
      <w:rFonts w:ascii="Arial" w:hAnsi="Arial"/>
      <w:szCs w:val="24"/>
      <w:lang w:eastAsia="ko-KR"/>
    </w:rPr>
  </w:style>
  <w:style w:type="paragraph" w:styleId="Footer">
    <w:name w:val="footer"/>
    <w:basedOn w:val="Normal"/>
    <w:link w:val="FooterChar"/>
    <w:uiPriority w:val="99"/>
    <w:semiHidden/>
    <w:unhideWhenUsed/>
    <w:rsid w:val="002545AE"/>
    <w:pPr>
      <w:tabs>
        <w:tab w:val="center" w:pos="4536"/>
        <w:tab w:val="right" w:pos="9072"/>
      </w:tabs>
    </w:pPr>
  </w:style>
  <w:style w:type="character" w:customStyle="1" w:styleId="FooterChar">
    <w:name w:val="Footer Char"/>
    <w:basedOn w:val="DefaultParagraphFont"/>
    <w:link w:val="Footer"/>
    <w:uiPriority w:val="99"/>
    <w:semiHidden/>
    <w:rsid w:val="002545AE"/>
    <w:rPr>
      <w:rFonts w:ascii="Arial" w:hAnsi="Arial"/>
      <w:szCs w:val="24"/>
      <w:lang w:eastAsia="ko-KR"/>
    </w:rPr>
  </w:style>
  <w:style w:type="character" w:styleId="FollowedHyperlink">
    <w:name w:val="FollowedHyperlink"/>
    <w:basedOn w:val="DefaultParagraphFont"/>
    <w:uiPriority w:val="99"/>
    <w:semiHidden/>
    <w:unhideWhenUsed/>
    <w:rsid w:val="002545AE"/>
    <w:rPr>
      <w:color w:val="954F72" w:themeColor="followedHyperlink"/>
      <w:u w:val="single"/>
    </w:rPr>
  </w:style>
  <w:style w:type="paragraph" w:styleId="Revision">
    <w:name w:val="Revision"/>
    <w:hidden/>
    <w:uiPriority w:val="99"/>
    <w:semiHidden/>
    <w:rsid w:val="008A3A08"/>
    <w:rPr>
      <w:rFonts w:ascii="Arial" w:hAnsi="Arial"/>
      <w:szCs w:val="24"/>
      <w:lang w:eastAsia="ko-KR"/>
    </w:rPr>
  </w:style>
  <w:style w:type="paragraph" w:styleId="Caption">
    <w:name w:val="caption"/>
    <w:basedOn w:val="Normal"/>
    <w:next w:val="Normal"/>
    <w:uiPriority w:val="35"/>
    <w:unhideWhenUsed/>
    <w:qFormat/>
    <w:rsid w:val="00D6402B"/>
    <w:pPr>
      <w:spacing w:after="200"/>
    </w:pPr>
    <w:rPr>
      <w:i/>
      <w:iCs/>
      <w:color w:val="44546A" w:themeColor="text2"/>
      <w:sz w:val="18"/>
      <w:szCs w:val="18"/>
    </w:rPr>
  </w:style>
  <w:style w:type="character" w:styleId="Mention">
    <w:name w:val="Mention"/>
    <w:basedOn w:val="DefaultParagraphFont"/>
    <w:uiPriority w:val="99"/>
    <w:unhideWhenUsed/>
    <w:rsid w:val="00FA797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99404509DEA5347803B50532AA28F55" ma:contentTypeVersion="6" ma:contentTypeDescription="Ein neues Dokument erstellen." ma:contentTypeScope="" ma:versionID="d7f145b0241b5731ba46515fd06a313f">
  <xsd:schema xmlns:xsd="http://www.w3.org/2001/XMLSchema" xmlns:xs="http://www.w3.org/2001/XMLSchema" xmlns:p="http://schemas.microsoft.com/office/2006/metadata/properties" xmlns:ns2="90a0c985-6acc-4f57-bb37-297b40da420e" xmlns:ns3="181299cb-8f1b-4172-8080-be94d1772056" targetNamespace="http://schemas.microsoft.com/office/2006/metadata/properties" ma:root="true" ma:fieldsID="2d84061234deea2fa586a98f4ab87590" ns2:_="" ns3:_="">
    <xsd:import namespace="90a0c985-6acc-4f57-bb37-297b40da420e"/>
    <xsd:import namespace="181299cb-8f1b-4172-8080-be94d17720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0c985-6acc-4f57-bb37-297b40da42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1299cb-8f1b-4172-8080-be94d1772056"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90AC34-3897-458D-BAF8-5381C4E9951D}">
  <ds:schemaRefs>
    <ds:schemaRef ds:uri="http://schemas.openxmlformats.org/officeDocument/2006/bibliography"/>
  </ds:schemaRefs>
</ds:datastoreItem>
</file>

<file path=customXml/itemProps2.xml><?xml version="1.0" encoding="utf-8"?>
<ds:datastoreItem xmlns:ds="http://schemas.openxmlformats.org/officeDocument/2006/customXml" ds:itemID="{C87926A7-1087-45EA-9838-B9E36CCCA8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6AFDB6-42AE-4051-A7BA-C83CDB7544B9}">
  <ds:schemaRefs>
    <ds:schemaRef ds:uri="http://schemas.microsoft.com/sharepoint/v3/contenttype/forms"/>
  </ds:schemaRefs>
</ds:datastoreItem>
</file>

<file path=customXml/itemProps4.xml><?xml version="1.0" encoding="utf-8"?>
<ds:datastoreItem xmlns:ds="http://schemas.openxmlformats.org/officeDocument/2006/customXml" ds:itemID="{32B836DB-2C0E-4270-955B-8EAE275FA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0c985-6acc-4f57-bb37-297b40da420e"/>
    <ds:schemaRef ds:uri="181299cb-8f1b-4172-8080-be94d1772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820</Words>
  <Characters>4678</Characters>
  <Application>Microsoft Office Word</Application>
  <DocSecurity>4</DocSecurity>
  <Lines>38</Lines>
  <Paragraphs>10</Paragraphs>
  <ScaleCrop>false</ScaleCrop>
  <HeadingPairs>
    <vt:vector size="2" baseType="variant">
      <vt:variant>
        <vt:lpstr>Titel</vt:lpstr>
      </vt:variant>
      <vt:variant>
        <vt:i4>1</vt:i4>
      </vt:variant>
    </vt:vector>
  </HeadingPairs>
  <TitlesOfParts>
    <vt:vector size="1" baseType="lpstr">
      <vt:lpstr>Titel</vt:lpstr>
    </vt:vector>
  </TitlesOfParts>
  <Company>TU-Wien Campuslizenz</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cp:lastModifiedBy>Ryan Harper</cp:lastModifiedBy>
  <cp:revision>341</cp:revision>
  <dcterms:created xsi:type="dcterms:W3CDTF">2021-05-26T22:12:00Z</dcterms:created>
  <dcterms:modified xsi:type="dcterms:W3CDTF">2021-05-31T16:24:00Z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0x010100D99404509DEA5347803B50532AA28F55</vt:lpwstr>
  </property>
  <property fmtid="{D5CDD505-2E9C-101B-9397-08002B2CF9AE}" pid="3" name="ComplianceAssetId">
    <vt:lpwstr/>
  </property>
  <property fmtid="{D5CDD505-2E9C-101B-9397-08002B2CF9AE}" pid="4" name="_ExtendedDescription">
    <vt:lpwstr/>
  </property>
</Properties>
</file>