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A839D" w14:textId="77777777" w:rsidR="00694D7B" w:rsidRPr="00694D7B" w:rsidRDefault="00694D7B" w:rsidP="00A156E4">
      <w:pPr>
        <w:pStyle w:val="AutorenOrganisation"/>
        <w:rPr>
          <w:b/>
          <w:snapToGrid w:val="0"/>
          <w:color w:val="auto"/>
          <w:spacing w:val="0"/>
          <w:kern w:val="28"/>
          <w:sz w:val="32"/>
          <w:szCs w:val="20"/>
          <w:lang w:val="en-US" w:eastAsia="en-US"/>
        </w:rPr>
      </w:pPr>
      <w:r w:rsidRPr="00694D7B">
        <w:rPr>
          <w:b/>
          <w:snapToGrid w:val="0"/>
          <w:color w:val="auto"/>
          <w:spacing w:val="0"/>
          <w:kern w:val="28"/>
          <w:sz w:val="32"/>
          <w:szCs w:val="20"/>
          <w:lang w:val="en-US" w:eastAsia="en-US"/>
        </w:rPr>
        <w:t xml:space="preserve">Market potentials for new flexibility products for the </w:t>
      </w:r>
      <w:r w:rsidR="00AD4C7F">
        <w:rPr>
          <w:b/>
          <w:snapToGrid w:val="0"/>
          <w:color w:val="auto"/>
          <w:spacing w:val="0"/>
          <w:kern w:val="28"/>
          <w:sz w:val="32"/>
          <w:szCs w:val="20"/>
          <w:lang w:val="en-US" w:eastAsia="en-US"/>
        </w:rPr>
        <w:t xml:space="preserve">Continental </w:t>
      </w:r>
      <w:r w:rsidRPr="00694D7B">
        <w:rPr>
          <w:b/>
          <w:snapToGrid w:val="0"/>
          <w:color w:val="auto"/>
          <w:spacing w:val="0"/>
          <w:kern w:val="28"/>
          <w:sz w:val="32"/>
          <w:szCs w:val="20"/>
          <w:lang w:val="en-US" w:eastAsia="en-US"/>
        </w:rPr>
        <w:t>European power system</w:t>
      </w:r>
    </w:p>
    <w:p w14:paraId="2BC806C9" w14:textId="77777777" w:rsidR="00694D7B" w:rsidRPr="00694D7B" w:rsidRDefault="00694D7B" w:rsidP="00A156E4">
      <w:pPr>
        <w:pStyle w:val="AutorenOrganisation"/>
        <w:rPr>
          <w:lang w:val="en-US"/>
        </w:rPr>
      </w:pPr>
    </w:p>
    <w:p w14:paraId="33B92450" w14:textId="77777777" w:rsidR="00BF05FA" w:rsidRPr="00694D7B" w:rsidRDefault="00694D7B" w:rsidP="00A156E4">
      <w:pPr>
        <w:pStyle w:val="AutorenOrganisation"/>
        <w:rPr>
          <w:lang w:val="en-US"/>
        </w:rPr>
      </w:pPr>
      <w:r w:rsidRPr="00694D7B">
        <w:rPr>
          <w:lang w:val="en-US"/>
        </w:rPr>
        <w:t>Topic</w:t>
      </w:r>
      <w:r w:rsidR="002F41B4" w:rsidRPr="00694D7B">
        <w:rPr>
          <w:lang w:val="en-US"/>
        </w:rPr>
        <w:t xml:space="preserve">: </w:t>
      </w:r>
      <w:r w:rsidRPr="00694D7B">
        <w:rPr>
          <w:color w:val="111111"/>
          <w:shd w:val="clear" w:color="auto" w:fill="FFFFFF"/>
          <w:lang w:val="en-US"/>
        </w:rPr>
        <w:t xml:space="preserve">Grid modeling and security of supply </w:t>
      </w:r>
    </w:p>
    <w:p w14:paraId="60B2DBFD" w14:textId="77777777" w:rsidR="005E4D4F" w:rsidRPr="005E2B4E" w:rsidRDefault="00207A71" w:rsidP="00A156E4">
      <w:pPr>
        <w:pStyle w:val="AutorenOrganisation"/>
      </w:pPr>
      <w:r w:rsidRPr="005E2B4E">
        <w:t>G. Lettner</w:t>
      </w:r>
      <w:r w:rsidRPr="00694D7B">
        <w:rPr>
          <w:vertAlign w:val="superscript"/>
          <w:lang w:val="en-US"/>
        </w:rPr>
        <w:footnoteReference w:id="1"/>
      </w:r>
      <w:r w:rsidRPr="005E2B4E">
        <w:t xml:space="preserve">, </w:t>
      </w:r>
      <w:r w:rsidR="008B4FFB" w:rsidRPr="005E2B4E">
        <w:t>C. Corinaldesi,</w:t>
      </w:r>
      <w:r w:rsidR="002F41B4" w:rsidRPr="005E2B4E">
        <w:t xml:space="preserve"> C</w:t>
      </w:r>
      <w:r w:rsidR="008B4FFB" w:rsidRPr="005E2B4E">
        <w:t>.</w:t>
      </w:r>
      <w:r w:rsidR="002F41B4" w:rsidRPr="005E2B4E">
        <w:t xml:space="preserve"> Loschan</w:t>
      </w:r>
      <w:r w:rsidR="006D6B7E" w:rsidRPr="005E2B4E">
        <w:t>, W. Gawlik</w:t>
      </w:r>
      <w:r w:rsidR="008B4FFB" w:rsidRPr="005E2B4E">
        <w:rPr>
          <w:vertAlign w:val="superscript"/>
        </w:rPr>
        <w:t xml:space="preserve"> </w:t>
      </w:r>
      <w:r w:rsidR="00A156E4" w:rsidRPr="005E2B4E">
        <w:rPr>
          <w:vertAlign w:val="superscript"/>
        </w:rPr>
        <w:t>(1)</w:t>
      </w:r>
      <w:r w:rsidR="005E4D4F" w:rsidRPr="005E2B4E">
        <w:t xml:space="preserve">, </w:t>
      </w:r>
      <w:r w:rsidR="008B4FFB" w:rsidRPr="005E2B4E">
        <w:t>G. Irsigler</w:t>
      </w:r>
      <w:r w:rsidR="00F31CA2" w:rsidRPr="005E2B4E">
        <w:t>, M. Urlesberger</w:t>
      </w:r>
      <w:r w:rsidR="008B4FFB" w:rsidRPr="005E2B4E">
        <w:rPr>
          <w:vertAlign w:val="superscript"/>
        </w:rPr>
        <w:t>(2)</w:t>
      </w:r>
      <w:r w:rsidR="008B4FFB" w:rsidRPr="005E2B4E">
        <w:t>, A. Stimmer, M. Lenz, M. Froschauer, M. Leonhardt</w:t>
      </w:r>
      <w:r w:rsidR="00B15075" w:rsidRPr="005E2B4E">
        <w:t>, E. Obererlacher</w:t>
      </w:r>
      <w:r w:rsidR="008B4FFB" w:rsidRPr="005E2B4E">
        <w:t xml:space="preserve"> </w:t>
      </w:r>
      <w:r w:rsidR="00A156E4" w:rsidRPr="005E2B4E">
        <w:rPr>
          <w:vertAlign w:val="superscript"/>
        </w:rPr>
        <w:t>(</w:t>
      </w:r>
      <w:r w:rsidR="008B4FFB" w:rsidRPr="005E2B4E">
        <w:rPr>
          <w:vertAlign w:val="superscript"/>
        </w:rPr>
        <w:t>3</w:t>
      </w:r>
      <w:r w:rsidR="00A156E4" w:rsidRPr="005E2B4E">
        <w:rPr>
          <w:vertAlign w:val="superscript"/>
        </w:rPr>
        <w:t>)</w:t>
      </w:r>
      <w:r w:rsidR="008B4FFB" w:rsidRPr="005E2B4E">
        <w:t xml:space="preserve">, </w:t>
      </w:r>
    </w:p>
    <w:p w14:paraId="6142F1C2" w14:textId="52753E0A" w:rsidR="005E4D4F" w:rsidRPr="00234FE1" w:rsidRDefault="00A156E4" w:rsidP="005E4D4F">
      <w:pPr>
        <w:pStyle w:val="AutorenOrganisation"/>
        <w:rPr>
          <w:lang w:val="en-US"/>
        </w:rPr>
      </w:pPr>
      <w:r w:rsidRPr="00234FE1">
        <w:rPr>
          <w:vertAlign w:val="superscript"/>
          <w:lang w:val="en-US"/>
        </w:rPr>
        <w:t>(</w:t>
      </w:r>
      <w:r w:rsidR="00010E92" w:rsidRPr="00234FE1">
        <w:rPr>
          <w:vertAlign w:val="superscript"/>
          <w:lang w:val="en-US"/>
        </w:rPr>
        <w:t>1</w:t>
      </w:r>
      <w:r w:rsidRPr="00234FE1">
        <w:rPr>
          <w:vertAlign w:val="superscript"/>
          <w:lang w:val="en-US"/>
        </w:rPr>
        <w:t>)</w:t>
      </w:r>
      <w:r w:rsidR="002F41B4" w:rsidRPr="00234FE1">
        <w:rPr>
          <w:lang w:val="en-US"/>
        </w:rPr>
        <w:t xml:space="preserve">TU Wien </w:t>
      </w:r>
      <w:r w:rsidR="00234FE1" w:rsidRPr="00234FE1">
        <w:rPr>
          <w:lang w:val="en-US"/>
        </w:rPr>
        <w:t>- Energy Economics</w:t>
      </w:r>
      <w:r w:rsidR="00234FE1">
        <w:rPr>
          <w:lang w:val="en-US"/>
        </w:rPr>
        <w:t xml:space="preserve"> Group</w:t>
      </w:r>
      <w:bookmarkStart w:id="0" w:name="_GoBack"/>
      <w:bookmarkEnd w:id="0"/>
      <w:r w:rsidR="00010E92" w:rsidRPr="00234FE1">
        <w:rPr>
          <w:lang w:val="en-US"/>
        </w:rPr>
        <w:t xml:space="preserve">, </w:t>
      </w:r>
      <w:r w:rsidR="008B4FFB" w:rsidRPr="00234FE1">
        <w:rPr>
          <w:vertAlign w:val="superscript"/>
          <w:lang w:val="en-US"/>
        </w:rPr>
        <w:t xml:space="preserve">(2) </w:t>
      </w:r>
      <w:proofErr w:type="spellStart"/>
      <w:r w:rsidR="008B4FFB" w:rsidRPr="00234FE1">
        <w:rPr>
          <w:lang w:val="en-US"/>
        </w:rPr>
        <w:t>Verbund</w:t>
      </w:r>
      <w:proofErr w:type="spellEnd"/>
      <w:r w:rsidR="008B4FFB" w:rsidRPr="00234FE1">
        <w:rPr>
          <w:lang w:val="en-US"/>
        </w:rPr>
        <w:t xml:space="preserve"> </w:t>
      </w:r>
      <w:r w:rsidR="006D6B7E" w:rsidRPr="00234FE1">
        <w:rPr>
          <w:lang w:val="en-US"/>
        </w:rPr>
        <w:t>Energy4Business</w:t>
      </w:r>
      <w:r w:rsidR="00F31CA2" w:rsidRPr="00234FE1">
        <w:rPr>
          <w:lang w:val="en-US"/>
        </w:rPr>
        <w:t xml:space="preserve"> GmbH</w:t>
      </w:r>
      <w:r w:rsidR="008B4FFB" w:rsidRPr="00234FE1">
        <w:rPr>
          <w:lang w:val="en-US"/>
        </w:rPr>
        <w:t xml:space="preserve">, </w:t>
      </w:r>
      <w:r w:rsidRPr="00234FE1">
        <w:rPr>
          <w:vertAlign w:val="superscript"/>
          <w:lang w:val="en-US"/>
        </w:rPr>
        <w:t>(</w:t>
      </w:r>
      <w:r w:rsidR="008B4FFB" w:rsidRPr="00234FE1">
        <w:rPr>
          <w:vertAlign w:val="superscript"/>
          <w:lang w:val="en-US"/>
        </w:rPr>
        <w:t>3</w:t>
      </w:r>
      <w:r w:rsidRPr="00234FE1">
        <w:rPr>
          <w:vertAlign w:val="superscript"/>
          <w:lang w:val="en-US"/>
        </w:rPr>
        <w:t>)</w:t>
      </w:r>
      <w:r w:rsidR="008B4FFB" w:rsidRPr="00234FE1">
        <w:rPr>
          <w:lang w:val="en-US"/>
        </w:rPr>
        <w:t xml:space="preserve"> Austrian Power Grid</w:t>
      </w:r>
    </w:p>
    <w:p w14:paraId="60419BDB" w14:textId="77777777" w:rsidR="00A07737" w:rsidRPr="00234FE1" w:rsidRDefault="00A07737" w:rsidP="00FB69AE">
      <w:pPr>
        <w:rPr>
          <w:lang w:val="en-US"/>
        </w:rPr>
      </w:pPr>
    </w:p>
    <w:p w14:paraId="50050E7A" w14:textId="77777777" w:rsidR="005E4D4F" w:rsidRPr="00694D7B" w:rsidRDefault="005E4D4F" w:rsidP="005E4D4F">
      <w:pPr>
        <w:pStyle w:val="Ueberschrift"/>
        <w:rPr>
          <w:lang w:val="en-US"/>
        </w:rPr>
      </w:pPr>
      <w:r w:rsidRPr="00694D7B">
        <w:rPr>
          <w:lang w:val="en-US"/>
        </w:rPr>
        <w:t xml:space="preserve">Motivation </w:t>
      </w:r>
    </w:p>
    <w:p w14:paraId="6A832240" w14:textId="55F17AEB" w:rsidR="00694D7B" w:rsidRPr="00694D7B" w:rsidRDefault="00694D7B" w:rsidP="00694D7B">
      <w:pPr>
        <w:rPr>
          <w:lang w:val="en-US"/>
        </w:rPr>
      </w:pPr>
      <w:r w:rsidRPr="00694D7B">
        <w:rPr>
          <w:lang w:val="en-US"/>
        </w:rPr>
        <w:t xml:space="preserve">Due to the increasing </w:t>
      </w:r>
      <w:r w:rsidR="00D01A7F">
        <w:rPr>
          <w:lang w:val="en-US"/>
        </w:rPr>
        <w:t>penetration</w:t>
      </w:r>
      <w:r w:rsidR="00D01A7F" w:rsidRPr="00694D7B">
        <w:rPr>
          <w:lang w:val="en-US"/>
        </w:rPr>
        <w:t xml:space="preserve"> </w:t>
      </w:r>
      <w:r w:rsidRPr="00694D7B">
        <w:rPr>
          <w:lang w:val="en-US"/>
        </w:rPr>
        <w:t xml:space="preserve">of inverter-based </w:t>
      </w:r>
      <w:r w:rsidR="00AD4C7F">
        <w:rPr>
          <w:lang w:val="en-US"/>
        </w:rPr>
        <w:t>generation</w:t>
      </w:r>
      <w:r w:rsidR="00AD4C7F" w:rsidRPr="00694D7B">
        <w:rPr>
          <w:lang w:val="en-US"/>
        </w:rPr>
        <w:t xml:space="preserve"> </w:t>
      </w:r>
      <w:r w:rsidRPr="00694D7B">
        <w:rPr>
          <w:lang w:val="en-US"/>
        </w:rPr>
        <w:t xml:space="preserve">and the associated reduction in the number of conventional plants with synchronous generators, the </w:t>
      </w:r>
      <w:r w:rsidR="006A4583" w:rsidRPr="00242D84">
        <w:rPr>
          <w:lang w:val="en-GB"/>
        </w:rPr>
        <w:t xml:space="preserve">network </w:t>
      </w:r>
      <w:r w:rsidRPr="00694D7B">
        <w:rPr>
          <w:lang w:val="en-US"/>
        </w:rPr>
        <w:t>time constant (T</w:t>
      </w:r>
      <w:r w:rsidRPr="005729AB">
        <w:rPr>
          <w:vertAlign w:val="subscript"/>
          <w:lang w:val="en-US"/>
        </w:rPr>
        <w:t>A</w:t>
      </w:r>
      <w:r w:rsidRPr="00694D7B">
        <w:rPr>
          <w:lang w:val="en-US"/>
        </w:rPr>
        <w:t xml:space="preserve">), </w:t>
      </w:r>
      <w:r w:rsidR="00AD4C7F" w:rsidRPr="00AD4C7F">
        <w:rPr>
          <w:lang w:val="en-US"/>
        </w:rPr>
        <w:t>which corresponds to the overall inertia in the system</w:t>
      </w:r>
      <w:r w:rsidRPr="00694D7B">
        <w:rPr>
          <w:lang w:val="en-US"/>
        </w:rPr>
        <w:t>, will continue to decrease in the future. As a result, power system</w:t>
      </w:r>
      <w:r w:rsidR="00AD4C7F">
        <w:rPr>
          <w:lang w:val="en-US"/>
        </w:rPr>
        <w:t>s</w:t>
      </w:r>
      <w:r w:rsidRPr="00694D7B">
        <w:rPr>
          <w:lang w:val="en-US"/>
        </w:rPr>
        <w:t xml:space="preserve"> will become increasingly unstable and there is a risk that the currently used primary control reserves (Frequency Containment Reserves, FCR), </w:t>
      </w:r>
      <w:r w:rsidR="00D01A7F">
        <w:rPr>
          <w:lang w:val="en-US"/>
        </w:rPr>
        <w:t>may</w:t>
      </w:r>
      <w:r w:rsidRPr="00694D7B">
        <w:rPr>
          <w:lang w:val="en-US"/>
        </w:rPr>
        <w:t xml:space="preserve"> not be able to stabilize the frequency </w:t>
      </w:r>
      <w:r w:rsidR="00AD4C7F" w:rsidRPr="00AD4C7F">
        <w:rPr>
          <w:lang w:val="en-US"/>
        </w:rPr>
        <w:t>in the event of a sudden power imbalance</w:t>
      </w:r>
      <w:r w:rsidR="00AD4C7F">
        <w:rPr>
          <w:lang w:val="en-US"/>
        </w:rPr>
        <w:t>.</w:t>
      </w:r>
      <w:r w:rsidR="00AD4C7F" w:rsidRPr="00AD4C7F" w:rsidDel="00AD4C7F">
        <w:rPr>
          <w:lang w:val="en-US"/>
        </w:rPr>
        <w:t xml:space="preserve"> </w:t>
      </w:r>
      <w:r w:rsidRPr="00694D7B">
        <w:rPr>
          <w:lang w:val="en-US"/>
        </w:rPr>
        <w:t xml:space="preserve">For this reason, the need for remedial measures is foreseeable. These could include the introduction of new fast control reserves, which have been investigated in this </w:t>
      </w:r>
      <w:r w:rsidR="00AD4C7F">
        <w:rPr>
          <w:lang w:val="en-US"/>
        </w:rPr>
        <w:t>paper</w:t>
      </w:r>
      <w:r w:rsidRPr="00694D7B">
        <w:rPr>
          <w:lang w:val="en-US"/>
        </w:rPr>
        <w:t xml:space="preserve">. </w:t>
      </w:r>
    </w:p>
    <w:p w14:paraId="43C5D5E1" w14:textId="77777777" w:rsidR="00694D7B" w:rsidRPr="00694D7B" w:rsidRDefault="00694D7B" w:rsidP="00694D7B">
      <w:pPr>
        <w:rPr>
          <w:lang w:val="en-US"/>
        </w:rPr>
      </w:pPr>
    </w:p>
    <w:p w14:paraId="17AAF068" w14:textId="77777777" w:rsidR="005E4D4F" w:rsidRPr="00694D7B" w:rsidRDefault="005E4D4F" w:rsidP="005E4D4F">
      <w:pPr>
        <w:pStyle w:val="Ueberschrift"/>
        <w:rPr>
          <w:lang w:val="en-US"/>
        </w:rPr>
      </w:pPr>
      <w:r w:rsidRPr="00694D7B">
        <w:rPr>
          <w:lang w:val="en-US"/>
        </w:rPr>
        <w:t>Method</w:t>
      </w:r>
      <w:r w:rsidR="00694D7B">
        <w:rPr>
          <w:lang w:val="en-US"/>
        </w:rPr>
        <w:t>ology</w:t>
      </w:r>
    </w:p>
    <w:p w14:paraId="13D58D31" w14:textId="7AF5A650" w:rsidR="008B4FFB" w:rsidRPr="00694D7B" w:rsidRDefault="00694D7B" w:rsidP="008B4FFB">
      <w:pPr>
        <w:rPr>
          <w:lang w:val="en-US"/>
        </w:rPr>
      </w:pPr>
      <w:r w:rsidRPr="00694D7B">
        <w:rPr>
          <w:lang w:val="en-US"/>
        </w:rPr>
        <w:t xml:space="preserve"> </w:t>
      </w:r>
      <w:r w:rsidR="006A4583">
        <w:rPr>
          <w:lang w:val="en-US"/>
        </w:rPr>
        <w:t>I</w:t>
      </w:r>
      <w:r w:rsidR="006A4583" w:rsidRPr="00694D7B">
        <w:rPr>
          <w:lang w:val="en-US"/>
        </w:rPr>
        <w:t xml:space="preserve">n order to derive </w:t>
      </w:r>
      <w:r w:rsidR="006A4583">
        <w:rPr>
          <w:lang w:val="en-US"/>
        </w:rPr>
        <w:t xml:space="preserve">recommendations for the </w:t>
      </w:r>
      <w:r w:rsidRPr="00694D7B">
        <w:rPr>
          <w:lang w:val="en-US"/>
        </w:rPr>
        <w:t xml:space="preserve">fast </w:t>
      </w:r>
      <w:r>
        <w:rPr>
          <w:lang w:val="en-US"/>
        </w:rPr>
        <w:t>control</w:t>
      </w:r>
      <w:r w:rsidRPr="00694D7B">
        <w:rPr>
          <w:lang w:val="en-US"/>
        </w:rPr>
        <w:t xml:space="preserve"> reserves</w:t>
      </w:r>
      <w:r w:rsidR="006A4583">
        <w:rPr>
          <w:lang w:val="en-US"/>
        </w:rPr>
        <w:t xml:space="preserve"> concepts [1]</w:t>
      </w:r>
      <w:r w:rsidR="008B4FFB" w:rsidRPr="00694D7B">
        <w:rPr>
          <w:lang w:val="en-US"/>
        </w:rPr>
        <w:t>:</w:t>
      </w:r>
    </w:p>
    <w:p w14:paraId="02964840" w14:textId="77777777" w:rsidR="008B4FFB" w:rsidRPr="00694D7B" w:rsidRDefault="00B7191C" w:rsidP="008B4FFB">
      <w:pPr>
        <w:pStyle w:val="Listenabsatz"/>
        <w:numPr>
          <w:ilvl w:val="0"/>
          <w:numId w:val="5"/>
        </w:numPr>
        <w:rPr>
          <w:lang w:val="en-US"/>
        </w:rPr>
      </w:pPr>
      <w:r w:rsidRPr="00694D7B">
        <w:rPr>
          <w:lang w:val="en-US"/>
        </w:rPr>
        <w:t xml:space="preserve">Frequency Containment Reserve „Plus“ </w:t>
      </w:r>
      <w:r w:rsidR="008B4FFB" w:rsidRPr="00694D7B">
        <w:rPr>
          <w:lang w:val="en-US"/>
        </w:rPr>
        <w:t xml:space="preserve">(FCR+), </w:t>
      </w:r>
    </w:p>
    <w:p w14:paraId="5A5E829C" w14:textId="77777777" w:rsidR="0004706A" w:rsidRPr="00694D7B" w:rsidRDefault="008B4FFB" w:rsidP="008B4FFB">
      <w:pPr>
        <w:pStyle w:val="Listenabsatz"/>
        <w:numPr>
          <w:ilvl w:val="0"/>
          <w:numId w:val="5"/>
        </w:numPr>
        <w:rPr>
          <w:lang w:val="en-US"/>
        </w:rPr>
      </w:pPr>
      <w:r w:rsidRPr="00694D7B">
        <w:rPr>
          <w:lang w:val="en-US"/>
        </w:rPr>
        <w:t xml:space="preserve">Enhanced Frequency Response </w:t>
      </w:r>
      <w:r w:rsidR="00B7191C" w:rsidRPr="00694D7B">
        <w:rPr>
          <w:lang w:val="en-US"/>
        </w:rPr>
        <w:t>(</w:t>
      </w:r>
      <w:r w:rsidRPr="00694D7B">
        <w:rPr>
          <w:lang w:val="en-US"/>
        </w:rPr>
        <w:t xml:space="preserve">EFR), </w:t>
      </w:r>
    </w:p>
    <w:p w14:paraId="76C57FD3" w14:textId="77777777" w:rsidR="0004706A" w:rsidRPr="00694D7B" w:rsidRDefault="008B4FFB" w:rsidP="008B4FFB">
      <w:pPr>
        <w:pStyle w:val="Listenabsatz"/>
        <w:numPr>
          <w:ilvl w:val="0"/>
          <w:numId w:val="5"/>
        </w:numPr>
        <w:rPr>
          <w:lang w:val="en-US"/>
        </w:rPr>
      </w:pPr>
      <w:r w:rsidRPr="00694D7B">
        <w:rPr>
          <w:lang w:val="en-US"/>
        </w:rPr>
        <w:t xml:space="preserve">Synthetic Inertia </w:t>
      </w:r>
      <w:r w:rsidR="00B7191C" w:rsidRPr="00694D7B">
        <w:rPr>
          <w:lang w:val="en-US"/>
        </w:rPr>
        <w:t>(</w:t>
      </w:r>
      <w:r w:rsidRPr="00694D7B">
        <w:rPr>
          <w:lang w:val="en-US"/>
        </w:rPr>
        <w:t xml:space="preserve">SI) </w:t>
      </w:r>
      <w:r w:rsidR="00694D7B">
        <w:rPr>
          <w:lang w:val="en-US"/>
        </w:rPr>
        <w:t>a</w:t>
      </w:r>
      <w:r w:rsidRPr="00694D7B">
        <w:rPr>
          <w:lang w:val="en-US"/>
        </w:rPr>
        <w:t xml:space="preserve">nd </w:t>
      </w:r>
    </w:p>
    <w:p w14:paraId="11C5BABD" w14:textId="77777777" w:rsidR="008B4FFB" w:rsidRPr="00694D7B" w:rsidRDefault="008B4FFB" w:rsidP="008B4FFB">
      <w:pPr>
        <w:pStyle w:val="Listenabsatz"/>
        <w:numPr>
          <w:ilvl w:val="0"/>
          <w:numId w:val="5"/>
        </w:numPr>
        <w:rPr>
          <w:lang w:val="en-US"/>
        </w:rPr>
      </w:pPr>
      <w:r w:rsidRPr="00694D7B">
        <w:rPr>
          <w:lang w:val="en-US"/>
        </w:rPr>
        <w:t xml:space="preserve">Fast Active Power Injection </w:t>
      </w:r>
      <w:r w:rsidR="00B7191C" w:rsidRPr="00694D7B">
        <w:rPr>
          <w:lang w:val="en-US"/>
        </w:rPr>
        <w:t>(</w:t>
      </w:r>
      <w:r w:rsidRPr="00694D7B">
        <w:rPr>
          <w:lang w:val="en-US"/>
        </w:rPr>
        <w:t>FAPI)</w:t>
      </w:r>
    </w:p>
    <w:p w14:paraId="6999AC84" w14:textId="77777777" w:rsidR="002627C3" w:rsidRPr="00694D7B" w:rsidRDefault="002627C3" w:rsidP="002627C3">
      <w:pPr>
        <w:pStyle w:val="Listenabsatz"/>
        <w:rPr>
          <w:lang w:val="en-US"/>
        </w:rPr>
      </w:pPr>
    </w:p>
    <w:p w14:paraId="477C2536" w14:textId="62ACF5D1" w:rsidR="000970D0" w:rsidRPr="00694D7B" w:rsidRDefault="00694D7B" w:rsidP="00694D7B">
      <w:pPr>
        <w:rPr>
          <w:lang w:val="en-US"/>
        </w:rPr>
      </w:pPr>
      <w:r w:rsidRPr="00694D7B">
        <w:rPr>
          <w:lang w:val="en-US"/>
        </w:rPr>
        <w:t xml:space="preserve">different implementation scenarios were developed and evaluated, </w:t>
      </w:r>
      <w:proofErr w:type="gramStart"/>
      <w:r w:rsidRPr="00694D7B">
        <w:rPr>
          <w:lang w:val="en-US"/>
        </w:rPr>
        <w:t>taking into account</w:t>
      </w:r>
      <w:proofErr w:type="gramEnd"/>
      <w:r w:rsidRPr="00694D7B">
        <w:rPr>
          <w:lang w:val="en-US"/>
        </w:rPr>
        <w:t xml:space="preserve"> parallel developments [</w:t>
      </w:r>
      <w:r w:rsidR="006A4583">
        <w:rPr>
          <w:lang w:val="en-US"/>
        </w:rPr>
        <w:t>2</w:t>
      </w:r>
      <w:r w:rsidRPr="00694D7B">
        <w:rPr>
          <w:lang w:val="en-US"/>
        </w:rPr>
        <w:t>] [</w:t>
      </w:r>
      <w:r w:rsidR="006A4583">
        <w:rPr>
          <w:lang w:val="en-US"/>
        </w:rPr>
        <w:t>3</w:t>
      </w:r>
      <w:r w:rsidRPr="00694D7B">
        <w:rPr>
          <w:lang w:val="en-US"/>
        </w:rPr>
        <w:t xml:space="preserve">]. In a first step, </w:t>
      </w:r>
      <w:r w:rsidR="007F5B16" w:rsidRPr="00694D7B">
        <w:rPr>
          <w:lang w:val="en-US"/>
        </w:rPr>
        <w:t>analys</w:t>
      </w:r>
      <w:r w:rsidR="007F5B16">
        <w:rPr>
          <w:lang w:val="en-US"/>
        </w:rPr>
        <w:t>i</w:t>
      </w:r>
      <w:r w:rsidR="007F5B16" w:rsidRPr="00694D7B">
        <w:rPr>
          <w:lang w:val="en-US"/>
        </w:rPr>
        <w:t xml:space="preserve">s </w:t>
      </w:r>
      <w:proofErr w:type="gramStart"/>
      <w:r w:rsidRPr="00694D7B">
        <w:rPr>
          <w:lang w:val="en-US"/>
        </w:rPr>
        <w:t>were</w:t>
      </w:r>
      <w:proofErr w:type="gramEnd"/>
      <w:r w:rsidRPr="00694D7B">
        <w:rPr>
          <w:lang w:val="en-US"/>
        </w:rPr>
        <w:t xml:space="preserve"> carried out with the help of the electricity market model </w:t>
      </w:r>
      <w:proofErr w:type="spellStart"/>
      <w:r w:rsidRPr="00694D7B">
        <w:rPr>
          <w:lang w:val="en-US"/>
        </w:rPr>
        <w:t>EDi</w:t>
      </w:r>
      <w:r>
        <w:rPr>
          <w:lang w:val="en-US"/>
        </w:rPr>
        <w:t>s</w:t>
      </w:r>
      <w:r w:rsidRPr="00694D7B">
        <w:rPr>
          <w:lang w:val="en-US"/>
        </w:rPr>
        <w:t>On</w:t>
      </w:r>
      <w:proofErr w:type="spellEnd"/>
      <w:r w:rsidRPr="00694D7B">
        <w:rPr>
          <w:lang w:val="en-US"/>
        </w:rPr>
        <w:t>+ [</w:t>
      </w:r>
      <w:r w:rsidR="006A4583">
        <w:rPr>
          <w:lang w:val="en-US"/>
        </w:rPr>
        <w:t>4</w:t>
      </w:r>
      <w:r w:rsidRPr="00694D7B">
        <w:rPr>
          <w:lang w:val="en-US"/>
        </w:rPr>
        <w:t xml:space="preserve">] to estimate the </w:t>
      </w:r>
      <w:r w:rsidR="006A4583" w:rsidRPr="00242D84">
        <w:rPr>
          <w:lang w:val="en-GB"/>
        </w:rPr>
        <w:t xml:space="preserve">network </w:t>
      </w:r>
      <w:r w:rsidRPr="00694D7B">
        <w:rPr>
          <w:lang w:val="en-US"/>
        </w:rPr>
        <w:t xml:space="preserve">time constant that can be expected in </w:t>
      </w:r>
      <w:r w:rsidR="007F5B16">
        <w:rPr>
          <w:lang w:val="en-US"/>
        </w:rPr>
        <w:t xml:space="preserve">the </w:t>
      </w:r>
      <w:r w:rsidR="0001429B">
        <w:rPr>
          <w:lang w:val="en-US"/>
        </w:rPr>
        <w:t>Continental European Power System (</w:t>
      </w:r>
      <w:r w:rsidRPr="00694D7B">
        <w:rPr>
          <w:lang w:val="en-US"/>
        </w:rPr>
        <w:t>CE</w:t>
      </w:r>
      <w:r w:rsidR="0001429B">
        <w:rPr>
          <w:lang w:val="en-US"/>
        </w:rPr>
        <w:t>)</w:t>
      </w:r>
      <w:r w:rsidRPr="00694D7B">
        <w:rPr>
          <w:lang w:val="en-US"/>
        </w:rPr>
        <w:t xml:space="preserve"> in the future. The input data for the market model </w:t>
      </w:r>
      <w:r w:rsidR="004359A3">
        <w:rPr>
          <w:lang w:val="en-US"/>
        </w:rPr>
        <w:t>was used</w:t>
      </w:r>
      <w:r w:rsidR="004359A3" w:rsidRPr="00694D7B">
        <w:rPr>
          <w:lang w:val="en-US"/>
        </w:rPr>
        <w:t xml:space="preserve"> </w:t>
      </w:r>
      <w:r w:rsidRPr="00694D7B">
        <w:rPr>
          <w:lang w:val="en-US"/>
        </w:rPr>
        <w:t>from the TYNDP 2020 scenarios "National Trends" (NT) and "Global Ambition" (GA) [</w:t>
      </w:r>
      <w:r w:rsidR="006A4583">
        <w:rPr>
          <w:lang w:val="en-US"/>
        </w:rPr>
        <w:t>5</w:t>
      </w:r>
      <w:r w:rsidRPr="00694D7B">
        <w:rPr>
          <w:lang w:val="en-US"/>
        </w:rPr>
        <w:t xml:space="preserve">]. For comparison purposes, additional </w:t>
      </w:r>
      <w:r w:rsidR="007F5B16" w:rsidRPr="00694D7B">
        <w:rPr>
          <w:lang w:val="en-US"/>
        </w:rPr>
        <w:t>analys</w:t>
      </w:r>
      <w:r w:rsidR="007F5B16">
        <w:rPr>
          <w:lang w:val="en-US"/>
        </w:rPr>
        <w:t>i</w:t>
      </w:r>
      <w:r w:rsidR="007F5B16" w:rsidRPr="00694D7B">
        <w:rPr>
          <w:lang w:val="en-US"/>
        </w:rPr>
        <w:t xml:space="preserve">s </w:t>
      </w:r>
      <w:r w:rsidRPr="00694D7B">
        <w:rPr>
          <w:lang w:val="en-US"/>
        </w:rPr>
        <w:t>of the network time constant for the years 2017 to 2019 were carried out using CE generation data from the ENTSO-E Transparency Platform [</w:t>
      </w:r>
      <w:r w:rsidR="006A4583">
        <w:rPr>
          <w:lang w:val="en-US"/>
        </w:rPr>
        <w:t>6</w:t>
      </w:r>
      <w:r w:rsidRPr="00694D7B">
        <w:rPr>
          <w:lang w:val="en-US"/>
        </w:rPr>
        <w:t xml:space="preserve">]. </w:t>
      </w:r>
      <w:r w:rsidR="00025831">
        <w:rPr>
          <w:lang w:val="en-US"/>
        </w:rPr>
        <w:t>B</w:t>
      </w:r>
      <w:r w:rsidRPr="00694D7B">
        <w:rPr>
          <w:lang w:val="en-US"/>
        </w:rPr>
        <w:t xml:space="preserve">ased on the fast control reserve concepts FCR+, EFR, SI and FAPI, the market model results and estimated </w:t>
      </w:r>
      <w:r w:rsidR="007F3F24">
        <w:rPr>
          <w:lang w:val="en-US"/>
        </w:rPr>
        <w:t>amounts</w:t>
      </w:r>
      <w:r w:rsidR="00025831">
        <w:rPr>
          <w:lang w:val="en-US"/>
        </w:rPr>
        <w:t xml:space="preserve"> of the </w:t>
      </w:r>
      <w:r w:rsidR="007F3F24">
        <w:rPr>
          <w:lang w:val="en-US"/>
        </w:rPr>
        <w:t xml:space="preserve">fast </w:t>
      </w:r>
      <w:r w:rsidR="00025831">
        <w:rPr>
          <w:lang w:val="en-US"/>
        </w:rPr>
        <w:t>control reserves</w:t>
      </w:r>
      <w:r w:rsidRPr="00694D7B">
        <w:rPr>
          <w:lang w:val="en-US"/>
        </w:rPr>
        <w:t xml:space="preserve">, the procurement of fast control reserves via energy markets was assessed with uniform criteria. The qualitative assessment was </w:t>
      </w:r>
      <w:proofErr w:type="gramStart"/>
      <w:r w:rsidR="007F5B16">
        <w:rPr>
          <w:lang w:val="en-US"/>
        </w:rPr>
        <w:t>took</w:t>
      </w:r>
      <w:proofErr w:type="gramEnd"/>
      <w:r w:rsidR="007F5B16">
        <w:rPr>
          <w:lang w:val="en-US"/>
        </w:rPr>
        <w:t xml:space="preserve"> into account</w:t>
      </w:r>
      <w:r w:rsidR="007F5B16" w:rsidRPr="00694D7B">
        <w:rPr>
          <w:lang w:val="en-US"/>
        </w:rPr>
        <w:t xml:space="preserve"> </w:t>
      </w:r>
      <w:r w:rsidRPr="00694D7B">
        <w:rPr>
          <w:lang w:val="en-US"/>
        </w:rPr>
        <w:t>on the following criteria</w:t>
      </w:r>
      <w:r w:rsidR="000970D0" w:rsidRPr="00694D7B">
        <w:rPr>
          <w:lang w:val="en-US"/>
        </w:rPr>
        <w:t>:</w:t>
      </w:r>
    </w:p>
    <w:p w14:paraId="6EF6C36F" w14:textId="77777777" w:rsidR="005729AB" w:rsidRPr="005729AB" w:rsidRDefault="005729AB" w:rsidP="005729AB">
      <w:pPr>
        <w:pStyle w:val="Listenabsatz"/>
        <w:numPr>
          <w:ilvl w:val="0"/>
          <w:numId w:val="9"/>
        </w:numPr>
        <w:rPr>
          <w:lang w:val="en-US"/>
        </w:rPr>
      </w:pPr>
      <w:r w:rsidRPr="005729AB">
        <w:rPr>
          <w:lang w:val="en-US"/>
        </w:rPr>
        <w:t>Market integration</w:t>
      </w:r>
    </w:p>
    <w:p w14:paraId="0BB46CA5" w14:textId="77777777" w:rsidR="005729AB" w:rsidRPr="005729AB" w:rsidRDefault="005729AB" w:rsidP="005729AB">
      <w:pPr>
        <w:pStyle w:val="Listenabsatz"/>
        <w:numPr>
          <w:ilvl w:val="0"/>
          <w:numId w:val="9"/>
        </w:numPr>
        <w:rPr>
          <w:lang w:val="en-US"/>
        </w:rPr>
      </w:pPr>
      <w:r w:rsidRPr="005729AB">
        <w:rPr>
          <w:lang w:val="en-US"/>
        </w:rPr>
        <w:t>Market liquidity</w:t>
      </w:r>
    </w:p>
    <w:p w14:paraId="23B8A393" w14:textId="77777777" w:rsidR="005729AB" w:rsidRPr="005729AB" w:rsidRDefault="005729AB" w:rsidP="005729AB">
      <w:pPr>
        <w:pStyle w:val="Listenabsatz"/>
        <w:numPr>
          <w:ilvl w:val="0"/>
          <w:numId w:val="9"/>
        </w:numPr>
        <w:rPr>
          <w:lang w:val="en-US"/>
        </w:rPr>
      </w:pPr>
      <w:r w:rsidRPr="005729AB">
        <w:rPr>
          <w:lang w:val="en-US"/>
        </w:rPr>
        <w:t>Market entry</w:t>
      </w:r>
    </w:p>
    <w:p w14:paraId="7D6809A0" w14:textId="77777777" w:rsidR="005729AB" w:rsidRPr="005729AB" w:rsidRDefault="005729AB" w:rsidP="005729AB">
      <w:pPr>
        <w:pStyle w:val="Listenabsatz"/>
        <w:numPr>
          <w:ilvl w:val="0"/>
          <w:numId w:val="9"/>
        </w:numPr>
        <w:rPr>
          <w:lang w:val="en-US"/>
        </w:rPr>
      </w:pPr>
      <w:r w:rsidRPr="005729AB">
        <w:rPr>
          <w:lang w:val="en-US"/>
        </w:rPr>
        <w:t>Price valuation</w:t>
      </w:r>
    </w:p>
    <w:p w14:paraId="1B464D6B" w14:textId="77777777" w:rsidR="005729AB" w:rsidRPr="005729AB" w:rsidRDefault="005729AB" w:rsidP="005729AB">
      <w:pPr>
        <w:pStyle w:val="Listenabsatz"/>
        <w:numPr>
          <w:ilvl w:val="0"/>
          <w:numId w:val="9"/>
        </w:numPr>
        <w:rPr>
          <w:lang w:val="en-US"/>
        </w:rPr>
      </w:pPr>
      <w:r w:rsidRPr="005729AB">
        <w:rPr>
          <w:lang w:val="en-US"/>
        </w:rPr>
        <w:t>Market rules.</w:t>
      </w:r>
    </w:p>
    <w:p w14:paraId="7314B2F2" w14:textId="77777777" w:rsidR="005729AB" w:rsidRPr="005729AB" w:rsidRDefault="005729AB" w:rsidP="005729AB">
      <w:pPr>
        <w:rPr>
          <w:lang w:val="en-US"/>
        </w:rPr>
      </w:pPr>
      <w:r w:rsidRPr="005729AB">
        <w:rPr>
          <w:lang w:val="en-US"/>
        </w:rPr>
        <w:t>Procurement was also analyzed for different scenarios:</w:t>
      </w:r>
    </w:p>
    <w:p w14:paraId="7C21ED24" w14:textId="77777777" w:rsidR="005729AB" w:rsidRPr="005729AB" w:rsidRDefault="005729AB" w:rsidP="005729AB">
      <w:pPr>
        <w:pStyle w:val="Listenabsatz"/>
        <w:numPr>
          <w:ilvl w:val="0"/>
          <w:numId w:val="8"/>
        </w:numPr>
        <w:rPr>
          <w:lang w:val="en-US"/>
        </w:rPr>
      </w:pPr>
      <w:r w:rsidRPr="005729AB">
        <w:rPr>
          <w:lang w:val="en-US"/>
        </w:rPr>
        <w:t>Procurement under the existing FCR tender.</w:t>
      </w:r>
    </w:p>
    <w:p w14:paraId="3C936867" w14:textId="77777777" w:rsidR="005729AB" w:rsidRPr="005729AB" w:rsidRDefault="005729AB" w:rsidP="005729AB">
      <w:pPr>
        <w:pStyle w:val="Listenabsatz"/>
        <w:numPr>
          <w:ilvl w:val="0"/>
          <w:numId w:val="8"/>
        </w:numPr>
        <w:rPr>
          <w:lang w:val="en-US"/>
        </w:rPr>
      </w:pPr>
      <w:r w:rsidRPr="005729AB">
        <w:rPr>
          <w:lang w:val="en-US"/>
        </w:rPr>
        <w:t>Tender with symmetrical products</w:t>
      </w:r>
    </w:p>
    <w:p w14:paraId="7E1907AA" w14:textId="77777777" w:rsidR="005729AB" w:rsidRPr="005729AB" w:rsidRDefault="005729AB" w:rsidP="005729AB">
      <w:pPr>
        <w:pStyle w:val="Listenabsatz"/>
        <w:numPr>
          <w:ilvl w:val="0"/>
          <w:numId w:val="8"/>
        </w:numPr>
        <w:rPr>
          <w:lang w:val="en-US"/>
        </w:rPr>
      </w:pPr>
      <w:r w:rsidRPr="005729AB">
        <w:rPr>
          <w:lang w:val="en-US"/>
        </w:rPr>
        <w:t>Tender with asymmetric products (supply | purchase)</w:t>
      </w:r>
    </w:p>
    <w:p w14:paraId="2147F334" w14:textId="77777777" w:rsidR="00E31894" w:rsidRPr="00694D7B" w:rsidRDefault="005729AB" w:rsidP="005729AB">
      <w:pPr>
        <w:pStyle w:val="Listenabsatz"/>
        <w:numPr>
          <w:ilvl w:val="0"/>
          <w:numId w:val="8"/>
        </w:numPr>
        <w:rPr>
          <w:lang w:val="en-US"/>
        </w:rPr>
      </w:pPr>
      <w:r w:rsidRPr="005729AB">
        <w:rPr>
          <w:lang w:val="en-US"/>
        </w:rPr>
        <w:t>Certificate trading</w:t>
      </w:r>
      <w:r w:rsidR="00DD65E9" w:rsidRPr="00694D7B">
        <w:rPr>
          <w:lang w:val="en-US"/>
        </w:rPr>
        <w:t>.</w:t>
      </w:r>
    </w:p>
    <w:p w14:paraId="6049E1D6" w14:textId="77777777" w:rsidR="00E31894" w:rsidRDefault="00E31894" w:rsidP="00E31894">
      <w:pPr>
        <w:rPr>
          <w:lang w:val="en-US"/>
        </w:rPr>
      </w:pPr>
    </w:p>
    <w:p w14:paraId="0D69C7AE" w14:textId="77777777" w:rsidR="005729AB" w:rsidRPr="00242D84" w:rsidRDefault="005729AB" w:rsidP="005729AB">
      <w:pPr>
        <w:pStyle w:val="Ueberschrift"/>
        <w:rPr>
          <w:lang w:val="en-GB"/>
        </w:rPr>
      </w:pPr>
      <w:r w:rsidRPr="00242D84">
        <w:rPr>
          <w:lang w:val="en-GB"/>
        </w:rPr>
        <w:t>Results</w:t>
      </w:r>
    </w:p>
    <w:p w14:paraId="2E1E1822" w14:textId="7925DE46" w:rsidR="005E4D4F" w:rsidRPr="00242D84" w:rsidRDefault="002F4145" w:rsidP="00227125">
      <w:pPr>
        <w:rPr>
          <w:lang w:val="en-US"/>
        </w:rPr>
      </w:pPr>
      <w:r w:rsidRPr="002F4145">
        <w:rPr>
          <w:lang w:val="en-US"/>
        </w:rPr>
        <w:t xml:space="preserve">Figure 1 shows a comparison of the annual duration curves of </w:t>
      </w:r>
      <w:r w:rsidRPr="00694D7B">
        <w:rPr>
          <w:lang w:val="en-US"/>
        </w:rPr>
        <w:t>T</w:t>
      </w:r>
      <w:r w:rsidRPr="005729AB">
        <w:rPr>
          <w:vertAlign w:val="subscript"/>
          <w:lang w:val="en-US"/>
        </w:rPr>
        <w:t>A</w:t>
      </w:r>
      <w:r w:rsidRPr="002F4145">
        <w:rPr>
          <w:lang w:val="en-US"/>
        </w:rPr>
        <w:t xml:space="preserve"> for the years 2017 to 2019 and the TYNDP 2020 scenarios "National Trends" (NT) and "Global Ambition" (GA). </w:t>
      </w:r>
      <w:r w:rsidR="00025831">
        <w:rPr>
          <w:lang w:val="en-US"/>
        </w:rPr>
        <w:t>T</w:t>
      </w:r>
      <w:r w:rsidRPr="002F4145">
        <w:rPr>
          <w:lang w:val="en-US"/>
        </w:rPr>
        <w:t xml:space="preserve">he scenarios show a significantly decreasing and more volatile </w:t>
      </w:r>
      <w:r w:rsidRPr="00694D7B">
        <w:rPr>
          <w:lang w:val="en-US"/>
        </w:rPr>
        <w:t>T</w:t>
      </w:r>
      <w:r w:rsidRPr="005729AB">
        <w:rPr>
          <w:vertAlign w:val="subscript"/>
          <w:lang w:val="en-US"/>
        </w:rPr>
        <w:t>A</w:t>
      </w:r>
      <w:r w:rsidRPr="002F4145">
        <w:rPr>
          <w:lang w:val="en-US"/>
        </w:rPr>
        <w:t xml:space="preserve">. The decrease and greater volatility of </w:t>
      </w:r>
      <w:r w:rsidRPr="00694D7B">
        <w:rPr>
          <w:lang w:val="en-US"/>
        </w:rPr>
        <w:t>T</w:t>
      </w:r>
      <w:r w:rsidRPr="005729AB">
        <w:rPr>
          <w:vertAlign w:val="subscript"/>
          <w:lang w:val="en-US"/>
        </w:rPr>
        <w:t>A</w:t>
      </w:r>
      <w:r w:rsidRPr="002F4145">
        <w:rPr>
          <w:lang w:val="en-US"/>
        </w:rPr>
        <w:t xml:space="preserve"> is directly </w:t>
      </w:r>
      <w:r w:rsidR="007F5B16">
        <w:rPr>
          <w:lang w:val="en-US"/>
        </w:rPr>
        <w:t>connected</w:t>
      </w:r>
      <w:r w:rsidR="007F5B16" w:rsidRPr="002F4145">
        <w:rPr>
          <w:lang w:val="en-US"/>
        </w:rPr>
        <w:t xml:space="preserve"> </w:t>
      </w:r>
      <w:r w:rsidRPr="002F4145">
        <w:rPr>
          <w:lang w:val="en-US"/>
        </w:rPr>
        <w:t xml:space="preserve">to the increasing amounts of </w:t>
      </w:r>
      <w:r>
        <w:rPr>
          <w:lang w:val="en-US"/>
        </w:rPr>
        <w:t>in</w:t>
      </w:r>
      <w:r w:rsidRPr="002F4145">
        <w:rPr>
          <w:lang w:val="en-US"/>
        </w:rPr>
        <w:t xml:space="preserve">verter-based </w:t>
      </w:r>
      <w:r w:rsidR="00A603D6">
        <w:rPr>
          <w:lang w:val="en-US"/>
        </w:rPr>
        <w:t>generation</w:t>
      </w:r>
      <w:r w:rsidRPr="002F4145">
        <w:rPr>
          <w:lang w:val="en-US"/>
        </w:rPr>
        <w:t>. For about 30</w:t>
      </w:r>
      <w:r>
        <w:rPr>
          <w:lang w:val="en-US"/>
        </w:rPr>
        <w:t> </w:t>
      </w:r>
      <w:r w:rsidRPr="002F4145">
        <w:rPr>
          <w:lang w:val="en-US"/>
        </w:rPr>
        <w:t xml:space="preserve">% of the </w:t>
      </w:r>
      <w:r>
        <w:rPr>
          <w:lang w:val="en-US"/>
        </w:rPr>
        <w:t>s</w:t>
      </w:r>
      <w:r w:rsidRPr="002F4145">
        <w:rPr>
          <w:lang w:val="en-US"/>
        </w:rPr>
        <w:t xml:space="preserve">cenario years </w:t>
      </w:r>
      <w:r w:rsidRPr="002F4145">
        <w:rPr>
          <w:lang w:val="en-US"/>
        </w:rPr>
        <w:lastRenderedPageBreak/>
        <w:t xml:space="preserve">NT2030 and GA2030, </w:t>
      </w:r>
      <w:r w:rsidRPr="00694D7B">
        <w:rPr>
          <w:lang w:val="en-US"/>
        </w:rPr>
        <w:t>T</w:t>
      </w:r>
      <w:r w:rsidRPr="005729AB">
        <w:rPr>
          <w:vertAlign w:val="subscript"/>
          <w:lang w:val="en-US"/>
        </w:rPr>
        <w:t>A</w:t>
      </w:r>
      <w:r w:rsidRPr="002F4145">
        <w:rPr>
          <w:lang w:val="en-US"/>
        </w:rPr>
        <w:t xml:space="preserve"> becomes smaller than 6 s, which can potentially lead to critical frequency drops below 49</w:t>
      </w:r>
      <w:r>
        <w:rPr>
          <w:lang w:val="en-US"/>
        </w:rPr>
        <w:t> </w:t>
      </w:r>
      <w:r w:rsidRPr="002F4145">
        <w:rPr>
          <w:lang w:val="en-US"/>
        </w:rPr>
        <w:t>Hz for reference outages of 3000</w:t>
      </w:r>
      <w:r>
        <w:rPr>
          <w:lang w:val="en-US"/>
        </w:rPr>
        <w:t> </w:t>
      </w:r>
      <w:r w:rsidRPr="002F4145">
        <w:rPr>
          <w:lang w:val="en-US"/>
        </w:rPr>
        <w:t xml:space="preserve">MW, if no other frequency supporting measures are active. Accordingly, the </w:t>
      </w:r>
      <w:r w:rsidR="00C61FE9">
        <w:rPr>
          <w:lang w:val="en-US"/>
        </w:rPr>
        <w:t>share</w:t>
      </w:r>
      <w:r w:rsidR="00C61FE9" w:rsidRPr="002F4145">
        <w:rPr>
          <w:lang w:val="en-US"/>
        </w:rPr>
        <w:t xml:space="preserve"> </w:t>
      </w:r>
      <w:r w:rsidRPr="002F4145">
        <w:rPr>
          <w:lang w:val="en-US"/>
        </w:rPr>
        <w:t xml:space="preserve">of </w:t>
      </w:r>
      <w:r w:rsidR="00C61FE9">
        <w:rPr>
          <w:lang w:val="en-US"/>
        </w:rPr>
        <w:t xml:space="preserve">low </w:t>
      </w:r>
      <w:r w:rsidR="006A4583" w:rsidRPr="00242D84">
        <w:rPr>
          <w:lang w:val="en-GB"/>
        </w:rPr>
        <w:t xml:space="preserve">network </w:t>
      </w:r>
      <w:r w:rsidR="00C61FE9">
        <w:rPr>
          <w:lang w:val="en-US"/>
        </w:rPr>
        <w:t>time constant</w:t>
      </w:r>
      <w:r w:rsidRPr="002F4145">
        <w:rPr>
          <w:lang w:val="en-US"/>
        </w:rPr>
        <w:t xml:space="preserve">s increases up to approx. </w:t>
      </w:r>
      <w:r w:rsidRPr="00242D84">
        <w:rPr>
          <w:lang w:val="en-GB"/>
        </w:rPr>
        <w:t>40 % in the scenario years NT2040 and GA2040.</w:t>
      </w:r>
    </w:p>
    <w:p w14:paraId="5390937D" w14:textId="3CCD0E81" w:rsidR="002726B7" w:rsidRPr="00242D84" w:rsidRDefault="00025831" w:rsidP="002726B7">
      <w:pPr>
        <w:jc w:val="center"/>
        <w:rPr>
          <w:lang w:val="en-US"/>
        </w:rPr>
      </w:pPr>
      <w:r w:rsidRPr="00EA2C63">
        <w:rPr>
          <w:noProof/>
          <w:lang w:val="de-AT" w:eastAsia="de-AT"/>
        </w:rPr>
        <w:drawing>
          <wp:inline distT="0" distB="0" distL="0" distR="0" wp14:anchorId="61C54BEA" wp14:editId="68FE4425">
            <wp:extent cx="2971800" cy="2467140"/>
            <wp:effectExtent l="0" t="0" r="0" b="9525"/>
            <wp:docPr id="103" name="Grafik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358" cy="24783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76F2A8" w14:textId="2F960F81" w:rsidR="00803917" w:rsidRPr="00694D7B" w:rsidRDefault="002F4145" w:rsidP="00D53E86">
      <w:pPr>
        <w:pStyle w:val="Abbildungsbeschriftung"/>
        <w:rPr>
          <w:highlight w:val="yellow"/>
          <w:lang w:val="en-US"/>
        </w:rPr>
      </w:pPr>
      <w:r w:rsidRPr="00C61FE9">
        <w:rPr>
          <w:lang w:val="en-US"/>
        </w:rPr>
        <w:t>Figure 1: Ann</w:t>
      </w:r>
      <w:r w:rsidRPr="002F4145">
        <w:rPr>
          <w:lang w:val="en-US"/>
        </w:rPr>
        <w:t xml:space="preserve">ual duration curves of the current and future </w:t>
      </w:r>
      <w:r w:rsidR="006A4583" w:rsidRPr="00242D84">
        <w:rPr>
          <w:lang w:val="en-GB"/>
        </w:rPr>
        <w:t xml:space="preserve">network </w:t>
      </w:r>
      <w:r w:rsidRPr="002F4145">
        <w:rPr>
          <w:lang w:val="en-US"/>
        </w:rPr>
        <w:t xml:space="preserve">time constant </w:t>
      </w:r>
      <w:r w:rsidR="002726B7" w:rsidRPr="00694D7B">
        <w:rPr>
          <w:highlight w:val="yellow"/>
          <w:lang w:val="en-US"/>
        </w:rPr>
        <w:t xml:space="preserve"> </w:t>
      </w:r>
    </w:p>
    <w:p w14:paraId="2A48057A" w14:textId="77777777" w:rsidR="002946B8" w:rsidRPr="00694D7B" w:rsidRDefault="002946B8" w:rsidP="00227125">
      <w:pPr>
        <w:rPr>
          <w:highlight w:val="yellow"/>
          <w:lang w:val="en-US"/>
        </w:rPr>
      </w:pPr>
    </w:p>
    <w:p w14:paraId="2806E945" w14:textId="4989E82C" w:rsidR="005729AB" w:rsidRPr="005729AB" w:rsidRDefault="005729AB" w:rsidP="005729AB">
      <w:pPr>
        <w:rPr>
          <w:lang w:val="en-US"/>
        </w:rPr>
      </w:pPr>
      <w:r w:rsidRPr="005729AB">
        <w:rPr>
          <w:lang w:val="en-US"/>
        </w:rPr>
        <w:t xml:space="preserve">From the </w:t>
      </w:r>
      <w:r w:rsidR="00C873B0">
        <w:rPr>
          <w:lang w:val="en-US"/>
        </w:rPr>
        <w:t xml:space="preserve">conducted </w:t>
      </w:r>
      <w:r w:rsidRPr="005729AB">
        <w:rPr>
          <w:lang w:val="en-US"/>
        </w:rPr>
        <w:t xml:space="preserve">qualitative assessment, </w:t>
      </w:r>
      <w:r w:rsidR="00C873B0">
        <w:rPr>
          <w:lang w:val="en-US"/>
        </w:rPr>
        <w:t xml:space="preserve">an evaluation </w:t>
      </w:r>
      <w:r w:rsidR="007F5B16">
        <w:rPr>
          <w:lang w:val="en-US"/>
        </w:rPr>
        <w:t>of</w:t>
      </w:r>
      <w:r w:rsidR="00C873B0">
        <w:rPr>
          <w:lang w:val="en-US"/>
        </w:rPr>
        <w:t xml:space="preserve"> the</w:t>
      </w:r>
      <w:r w:rsidRPr="005729AB">
        <w:rPr>
          <w:lang w:val="en-US"/>
        </w:rPr>
        <w:t xml:space="preserve"> market suitability </w:t>
      </w:r>
      <w:r w:rsidR="00C873B0">
        <w:rPr>
          <w:lang w:val="en-US"/>
        </w:rPr>
        <w:t>of</w:t>
      </w:r>
      <w:r w:rsidR="00C873B0" w:rsidRPr="005729AB">
        <w:rPr>
          <w:lang w:val="en-US"/>
        </w:rPr>
        <w:t xml:space="preserve"> </w:t>
      </w:r>
      <w:r w:rsidRPr="005729AB">
        <w:rPr>
          <w:lang w:val="en-US"/>
        </w:rPr>
        <w:t>the different types of fast reserve</w:t>
      </w:r>
      <w:r w:rsidR="00C873B0">
        <w:rPr>
          <w:lang w:val="en-US"/>
        </w:rPr>
        <w:t xml:space="preserve"> concepts was derived</w:t>
      </w:r>
      <w:r w:rsidRPr="005729AB">
        <w:rPr>
          <w:lang w:val="en-US"/>
        </w:rPr>
        <w:t>.</w:t>
      </w:r>
    </w:p>
    <w:p w14:paraId="2C2FCEA4" w14:textId="6989D48C" w:rsidR="005729AB" w:rsidRPr="005729AB" w:rsidRDefault="005729AB" w:rsidP="005729AB">
      <w:pPr>
        <w:rPr>
          <w:lang w:val="en-US"/>
        </w:rPr>
      </w:pPr>
      <w:r w:rsidRPr="005729AB">
        <w:rPr>
          <w:lang w:val="en-US"/>
        </w:rPr>
        <w:t xml:space="preserve">FCR+ could be procured as a subset in the existing FCR tenders, opening up synergies </w:t>
      </w:r>
      <w:r w:rsidR="00C873B0">
        <w:rPr>
          <w:lang w:val="en-US"/>
        </w:rPr>
        <w:t>regarding</w:t>
      </w:r>
      <w:r w:rsidR="00C873B0" w:rsidRPr="005729AB">
        <w:rPr>
          <w:lang w:val="en-US"/>
        </w:rPr>
        <w:t xml:space="preserve"> </w:t>
      </w:r>
      <w:r w:rsidRPr="005729AB">
        <w:rPr>
          <w:lang w:val="en-US"/>
        </w:rPr>
        <w:t>market integration and market rules.</w:t>
      </w:r>
    </w:p>
    <w:p w14:paraId="4117237F" w14:textId="2C583FCF" w:rsidR="005729AB" w:rsidRPr="005729AB" w:rsidRDefault="00C873B0" w:rsidP="005729AB">
      <w:pPr>
        <w:rPr>
          <w:lang w:val="en-US"/>
        </w:rPr>
      </w:pPr>
      <w:r>
        <w:rPr>
          <w:lang w:val="en-US"/>
        </w:rPr>
        <w:t>EFR</w:t>
      </w:r>
      <w:r w:rsidRPr="005729AB">
        <w:rPr>
          <w:lang w:val="en-US"/>
        </w:rPr>
        <w:t xml:space="preserve"> </w:t>
      </w:r>
      <w:r w:rsidR="0064764D">
        <w:rPr>
          <w:lang w:val="en-US"/>
        </w:rPr>
        <w:t>could</w:t>
      </w:r>
      <w:r w:rsidR="0064764D" w:rsidRPr="005729AB">
        <w:rPr>
          <w:lang w:val="en-US"/>
        </w:rPr>
        <w:t xml:space="preserve"> </w:t>
      </w:r>
      <w:r w:rsidR="005729AB" w:rsidRPr="005729AB">
        <w:rPr>
          <w:lang w:val="en-US"/>
        </w:rPr>
        <w:t xml:space="preserve">be particularly suitable for suppliers that </w:t>
      </w:r>
      <w:r>
        <w:rPr>
          <w:lang w:val="en-US"/>
        </w:rPr>
        <w:t>have</w:t>
      </w:r>
      <w:r w:rsidR="005729AB" w:rsidRPr="005729AB">
        <w:rPr>
          <w:lang w:val="en-US"/>
        </w:rPr>
        <w:t xml:space="preserve"> difficult</w:t>
      </w:r>
      <w:r>
        <w:rPr>
          <w:lang w:val="en-US"/>
        </w:rPr>
        <w:t>ies to</w:t>
      </w:r>
      <w:r w:rsidR="005729AB" w:rsidRPr="005729AB">
        <w:rPr>
          <w:lang w:val="en-US"/>
        </w:rPr>
        <w:t xml:space="preserve"> participate in the currently existing primary control reserve markets. In the case of </w:t>
      </w:r>
      <w:r>
        <w:rPr>
          <w:lang w:val="en-US"/>
        </w:rPr>
        <w:t xml:space="preserve">an </w:t>
      </w:r>
      <w:r w:rsidR="005729AB" w:rsidRPr="005729AB">
        <w:rPr>
          <w:lang w:val="en-US"/>
        </w:rPr>
        <w:t xml:space="preserve">asymmetric product design, even controllable loads could participate in </w:t>
      </w:r>
      <w:r>
        <w:rPr>
          <w:lang w:val="en-US"/>
        </w:rPr>
        <w:t>such a</w:t>
      </w:r>
      <w:r w:rsidRPr="005729AB">
        <w:rPr>
          <w:lang w:val="en-US"/>
        </w:rPr>
        <w:t xml:space="preserve"> </w:t>
      </w:r>
      <w:r w:rsidR="005729AB" w:rsidRPr="005729AB">
        <w:rPr>
          <w:lang w:val="en-US"/>
        </w:rPr>
        <w:t>market.</w:t>
      </w:r>
    </w:p>
    <w:p w14:paraId="2FB9A8A3" w14:textId="2E44A256" w:rsidR="005729AB" w:rsidRPr="005729AB" w:rsidRDefault="00C873B0" w:rsidP="005729AB">
      <w:pPr>
        <w:rPr>
          <w:lang w:val="en-US"/>
        </w:rPr>
      </w:pPr>
      <w:r>
        <w:rPr>
          <w:lang w:val="en-US"/>
        </w:rPr>
        <w:t>D</w:t>
      </w:r>
      <w:r w:rsidRPr="005729AB">
        <w:rPr>
          <w:lang w:val="en-US"/>
        </w:rPr>
        <w:t>ue t</w:t>
      </w:r>
      <w:r w:rsidR="00242D84">
        <w:rPr>
          <w:lang w:val="en-US"/>
        </w:rPr>
        <w:t>o the complexity of the concept</w:t>
      </w:r>
      <w:r w:rsidR="0064764D">
        <w:rPr>
          <w:lang w:val="en-US"/>
        </w:rPr>
        <w:t xml:space="preserve"> of</w:t>
      </w:r>
      <w:r w:rsidRPr="005729AB" w:rsidDel="00C873B0">
        <w:rPr>
          <w:lang w:val="en-US"/>
        </w:rPr>
        <w:t xml:space="preserve"> </w:t>
      </w:r>
      <w:r w:rsidR="005729AB" w:rsidRPr="005729AB">
        <w:rPr>
          <w:lang w:val="en-US"/>
        </w:rPr>
        <w:t xml:space="preserve">SI, certificate trading appears to be more advantageous than a tender concept via </w:t>
      </w:r>
      <w:r w:rsidR="0064764D">
        <w:rPr>
          <w:lang w:val="en-US"/>
        </w:rPr>
        <w:t xml:space="preserve">a </w:t>
      </w:r>
      <w:r w:rsidR="005729AB" w:rsidRPr="005729AB">
        <w:rPr>
          <w:lang w:val="en-US"/>
        </w:rPr>
        <w:t>symmetrical product</w:t>
      </w:r>
      <w:r>
        <w:rPr>
          <w:lang w:val="en-US"/>
        </w:rPr>
        <w:t xml:space="preserve"> design</w:t>
      </w:r>
      <w:r w:rsidR="005729AB" w:rsidRPr="005729AB">
        <w:rPr>
          <w:lang w:val="en-US"/>
        </w:rPr>
        <w:t>.</w:t>
      </w:r>
    </w:p>
    <w:p w14:paraId="00874578" w14:textId="3A0DE449" w:rsidR="005729AB" w:rsidRPr="005729AB" w:rsidRDefault="001A3004" w:rsidP="005729AB">
      <w:pPr>
        <w:rPr>
          <w:lang w:val="en-US"/>
        </w:rPr>
      </w:pPr>
      <w:r>
        <w:rPr>
          <w:lang w:val="en-US"/>
        </w:rPr>
        <w:t xml:space="preserve">A combined evaluation of market aspects, operational aspects and the underlying concept </w:t>
      </w:r>
      <w:r w:rsidRPr="005729AB">
        <w:rPr>
          <w:lang w:val="en-US"/>
        </w:rPr>
        <w:t>(activation based on a static frequency trigger)</w:t>
      </w:r>
      <w:r>
        <w:rPr>
          <w:lang w:val="en-US"/>
        </w:rPr>
        <w:t xml:space="preserve"> </w:t>
      </w:r>
      <w:r w:rsidR="005729AB" w:rsidRPr="005729AB">
        <w:rPr>
          <w:lang w:val="en-US"/>
        </w:rPr>
        <w:t xml:space="preserve">shows that </w:t>
      </w:r>
      <w:r>
        <w:rPr>
          <w:lang w:val="en-US"/>
        </w:rPr>
        <w:t xml:space="preserve">FAPI is </w:t>
      </w:r>
      <w:r w:rsidR="005729AB" w:rsidRPr="005729AB">
        <w:rPr>
          <w:lang w:val="en-US"/>
        </w:rPr>
        <w:t xml:space="preserve">the least </w:t>
      </w:r>
      <w:r w:rsidR="00242D84" w:rsidRPr="00242D84">
        <w:rPr>
          <w:lang w:val="en-US"/>
        </w:rPr>
        <w:t>favorable</w:t>
      </w:r>
      <w:r w:rsidR="00242D84" w:rsidRPr="00242D84" w:rsidDel="00242D84">
        <w:rPr>
          <w:lang w:val="en-US"/>
        </w:rPr>
        <w:t xml:space="preserve"> </w:t>
      </w:r>
      <w:r w:rsidR="00242D84">
        <w:rPr>
          <w:lang w:val="en-US"/>
        </w:rPr>
        <w:t>option</w:t>
      </w:r>
      <w:r w:rsidR="00242D84" w:rsidRPr="005729AB">
        <w:rPr>
          <w:lang w:val="en-US"/>
        </w:rPr>
        <w:t xml:space="preserve"> </w:t>
      </w:r>
      <w:r w:rsidR="005729AB" w:rsidRPr="005729AB">
        <w:rPr>
          <w:lang w:val="en-US"/>
        </w:rPr>
        <w:t>for a market</w:t>
      </w:r>
      <w:r w:rsidR="00242D84">
        <w:rPr>
          <w:lang w:val="en-US"/>
        </w:rPr>
        <w:t xml:space="preserve"> implementation.</w:t>
      </w:r>
      <w:r w:rsidR="005729AB" w:rsidRPr="005729AB">
        <w:rPr>
          <w:lang w:val="en-US"/>
        </w:rPr>
        <w:t xml:space="preserve"> </w:t>
      </w:r>
    </w:p>
    <w:p w14:paraId="6080AE4F" w14:textId="77777777" w:rsidR="005729AB" w:rsidRPr="005729AB" w:rsidRDefault="005729AB" w:rsidP="005729AB">
      <w:pPr>
        <w:rPr>
          <w:lang w:val="en-US"/>
        </w:rPr>
      </w:pPr>
    </w:p>
    <w:p w14:paraId="43AC02DD" w14:textId="4D698F38" w:rsidR="005729AB" w:rsidRDefault="005729AB" w:rsidP="00A156E4">
      <w:pPr>
        <w:pStyle w:val="Ueberschrift"/>
        <w:rPr>
          <w:b w:val="0"/>
          <w:spacing w:val="0"/>
          <w:sz w:val="20"/>
          <w:lang w:val="en-US" w:eastAsia="ko-KR"/>
        </w:rPr>
      </w:pPr>
      <w:bookmarkStart w:id="1" w:name="_Toc26086066"/>
      <w:bookmarkStart w:id="2" w:name="_Toc68418491"/>
      <w:r w:rsidRPr="005729AB">
        <w:rPr>
          <w:b w:val="0"/>
          <w:spacing w:val="0"/>
          <w:sz w:val="20"/>
          <w:lang w:val="en-US" w:eastAsia="ko-KR"/>
        </w:rPr>
        <w:t>Acknowledgements: The project "ABS4TSO" [</w:t>
      </w:r>
      <w:r w:rsidR="006A4583">
        <w:rPr>
          <w:b w:val="0"/>
          <w:spacing w:val="0"/>
          <w:sz w:val="20"/>
          <w:lang w:val="en-US" w:eastAsia="ko-KR"/>
        </w:rPr>
        <w:t>7</w:t>
      </w:r>
      <w:r w:rsidRPr="005729AB">
        <w:rPr>
          <w:b w:val="0"/>
          <w:spacing w:val="0"/>
          <w:sz w:val="20"/>
          <w:lang w:val="en-US" w:eastAsia="ko-KR"/>
        </w:rPr>
        <w:t xml:space="preserve">] is funded by the Climate and Energy Fund and carried out within the framework of the Energy Research </w:t>
      </w:r>
      <w:proofErr w:type="spellStart"/>
      <w:r w:rsidRPr="005729AB">
        <w:rPr>
          <w:b w:val="0"/>
          <w:spacing w:val="0"/>
          <w:sz w:val="20"/>
          <w:lang w:val="en-US" w:eastAsia="ko-KR"/>
        </w:rPr>
        <w:t>Programme</w:t>
      </w:r>
      <w:proofErr w:type="spellEnd"/>
      <w:r w:rsidRPr="005729AB">
        <w:rPr>
          <w:b w:val="0"/>
          <w:spacing w:val="0"/>
          <w:sz w:val="20"/>
          <w:lang w:val="en-US" w:eastAsia="ko-KR"/>
        </w:rPr>
        <w:t xml:space="preserve"> 2017</w:t>
      </w:r>
      <w:r w:rsidR="002F4145">
        <w:rPr>
          <w:b w:val="0"/>
          <w:spacing w:val="0"/>
          <w:sz w:val="20"/>
          <w:lang w:val="en-US" w:eastAsia="ko-KR"/>
        </w:rPr>
        <w:t>.</w:t>
      </w:r>
    </w:p>
    <w:p w14:paraId="38F6A862" w14:textId="77777777" w:rsidR="005E4D4F" w:rsidRPr="0002428E" w:rsidRDefault="005E4D4F" w:rsidP="00A156E4">
      <w:pPr>
        <w:pStyle w:val="Ueberschrift"/>
        <w:rPr>
          <w:lang w:val="de-AT"/>
        </w:rPr>
      </w:pPr>
      <w:proofErr w:type="spellStart"/>
      <w:r w:rsidRPr="0002428E">
        <w:rPr>
          <w:lang w:val="de-AT"/>
        </w:rPr>
        <w:t>Literatur</w:t>
      </w:r>
      <w:bookmarkEnd w:id="1"/>
      <w:bookmarkEnd w:id="2"/>
      <w:r w:rsidR="005729AB" w:rsidRPr="0002428E">
        <w:rPr>
          <w:lang w:val="de-AT"/>
        </w:rPr>
        <w:t>e</w:t>
      </w:r>
      <w:proofErr w:type="spellEnd"/>
    </w:p>
    <w:p w14:paraId="69A6981B" w14:textId="77777777" w:rsidR="006A4583" w:rsidRPr="00242D84" w:rsidRDefault="006A4583" w:rsidP="00242D84">
      <w:pPr>
        <w:pStyle w:val="Literatur"/>
        <w:jc w:val="left"/>
        <w:rPr>
          <w:lang w:val="de-AT"/>
        </w:rPr>
      </w:pPr>
      <w:r>
        <w:rPr>
          <w:lang w:val="de-AT"/>
        </w:rPr>
        <w:t>[1</w:t>
      </w:r>
      <w:r w:rsidRPr="005729AB">
        <w:rPr>
          <w:lang w:val="de-AT"/>
        </w:rPr>
        <w:t>]</w:t>
      </w:r>
      <w:r w:rsidRPr="005729AB">
        <w:rPr>
          <w:lang w:val="de-AT"/>
        </w:rPr>
        <w:tab/>
        <w:t>Alacs et al., “MÖGLICHE UMSETZUNG VON SCHNELLEN REGELRESERVEN IM</w:t>
      </w:r>
      <w:r>
        <w:rPr>
          <w:lang w:val="de-AT"/>
        </w:rPr>
        <w:t xml:space="preserve"> </w:t>
      </w:r>
      <w:r w:rsidRPr="005729AB">
        <w:rPr>
          <w:lang w:val="de-AT"/>
        </w:rPr>
        <w:t xml:space="preserve">KONTINENTALEUROPÄISCHEN </w:t>
      </w:r>
      <w:r>
        <w:rPr>
          <w:lang w:val="de-AT"/>
        </w:rPr>
        <w:t>V</w:t>
      </w:r>
      <w:r w:rsidRPr="005729AB">
        <w:rPr>
          <w:lang w:val="de-AT"/>
        </w:rPr>
        <w:t>ERBUNDSYSTEM</w:t>
      </w:r>
      <w:r>
        <w:rPr>
          <w:lang w:val="de-AT"/>
        </w:rPr>
        <w:t xml:space="preserve"> </w:t>
      </w:r>
      <w:r w:rsidRPr="005729AB">
        <w:rPr>
          <w:lang w:val="de-AT"/>
        </w:rPr>
        <w:t>https://www.tugraz.at/fileadmin/user_upload/tugrazExternal/4778f047-2e50-4e9e-b72d-e5af373f95a4/files/kf/Session_C6/363_KF_Alacs.pdf</w:t>
      </w:r>
    </w:p>
    <w:p w14:paraId="37264237" w14:textId="1214FD38" w:rsidR="005E4D4F" w:rsidRPr="00694D7B" w:rsidRDefault="00483B87" w:rsidP="006A4583">
      <w:pPr>
        <w:pStyle w:val="Literatur"/>
        <w:rPr>
          <w:lang w:val="en-US"/>
        </w:rPr>
      </w:pPr>
      <w:r w:rsidRPr="00694D7B">
        <w:rPr>
          <w:lang w:val="en-US"/>
        </w:rPr>
        <w:t>[</w:t>
      </w:r>
      <w:r w:rsidR="006A4583">
        <w:rPr>
          <w:lang w:val="en-US"/>
        </w:rPr>
        <w:t>2</w:t>
      </w:r>
      <w:r w:rsidRPr="00694D7B">
        <w:rPr>
          <w:lang w:val="en-US"/>
        </w:rPr>
        <w:t>]</w:t>
      </w:r>
      <w:r w:rsidRPr="00694D7B">
        <w:rPr>
          <w:lang w:val="en-US"/>
        </w:rPr>
        <w:tab/>
      </w:r>
      <w:r w:rsidR="0004706A" w:rsidRPr="00694D7B">
        <w:rPr>
          <w:lang w:val="en-US"/>
        </w:rPr>
        <w:t xml:space="preserve">ENTSO-E, “Fast Frequency Reserve – Solution to the Nordic inertia </w:t>
      </w:r>
      <w:proofErr w:type="gramStart"/>
      <w:r w:rsidR="0004706A" w:rsidRPr="00694D7B">
        <w:rPr>
          <w:lang w:val="en-US"/>
        </w:rPr>
        <w:t>challenge“</w:t>
      </w:r>
      <w:proofErr w:type="gramEnd"/>
      <w:r w:rsidR="0004706A" w:rsidRPr="00694D7B">
        <w:rPr>
          <w:lang w:val="en-US"/>
        </w:rPr>
        <w:t>, 2019, &lt;https://www.epressi.com/media/userfiles/107305/1576157646/fast-frequency-reserve-solution-to-the-nordic-inertia-challenge-1.pdf&gt;.</w:t>
      </w:r>
    </w:p>
    <w:p w14:paraId="51C6FBDD" w14:textId="4A4301F1" w:rsidR="00010E92" w:rsidRPr="00694D7B" w:rsidRDefault="00483B87" w:rsidP="00227125">
      <w:pPr>
        <w:pStyle w:val="Literatur"/>
        <w:rPr>
          <w:lang w:val="en-US"/>
        </w:rPr>
      </w:pPr>
      <w:r w:rsidRPr="00694D7B">
        <w:rPr>
          <w:lang w:val="en-US"/>
        </w:rPr>
        <w:t>[</w:t>
      </w:r>
      <w:r w:rsidR="006A4583">
        <w:rPr>
          <w:lang w:val="en-US"/>
        </w:rPr>
        <w:t>3</w:t>
      </w:r>
      <w:r w:rsidRPr="00694D7B">
        <w:rPr>
          <w:lang w:val="en-US"/>
        </w:rPr>
        <w:t>]</w:t>
      </w:r>
      <w:r w:rsidRPr="00694D7B">
        <w:rPr>
          <w:lang w:val="en-US"/>
        </w:rPr>
        <w:tab/>
      </w:r>
      <w:r w:rsidR="0004706A" w:rsidRPr="00694D7B">
        <w:rPr>
          <w:lang w:val="en-US"/>
        </w:rPr>
        <w:t xml:space="preserve">National Grid, “Dynamic Containment – Industry </w:t>
      </w:r>
      <w:proofErr w:type="gramStart"/>
      <w:r w:rsidR="0004706A" w:rsidRPr="00694D7B">
        <w:rPr>
          <w:lang w:val="en-US"/>
        </w:rPr>
        <w:t>Information“</w:t>
      </w:r>
      <w:proofErr w:type="gramEnd"/>
      <w:r w:rsidR="0004706A" w:rsidRPr="00694D7B">
        <w:rPr>
          <w:lang w:val="en-US"/>
        </w:rPr>
        <w:t>, 2020, &lt;https://www.nationalgrideso.com/industry-information/balancing-services/frequency-response-services/dynamic-containment&gt;.</w:t>
      </w:r>
    </w:p>
    <w:p w14:paraId="59B93CDA" w14:textId="07AE6806" w:rsidR="0004706A" w:rsidRPr="00694D7B" w:rsidRDefault="0004706A" w:rsidP="0004706A">
      <w:pPr>
        <w:pStyle w:val="Literatur"/>
        <w:rPr>
          <w:lang w:val="en-US"/>
        </w:rPr>
      </w:pPr>
      <w:r w:rsidRPr="00694D7B">
        <w:rPr>
          <w:lang w:val="en-US"/>
        </w:rPr>
        <w:t>[</w:t>
      </w:r>
      <w:r w:rsidR="006A4583">
        <w:rPr>
          <w:lang w:val="en-US"/>
        </w:rPr>
        <w:t>4</w:t>
      </w:r>
      <w:r w:rsidRPr="00694D7B">
        <w:rPr>
          <w:lang w:val="en-US"/>
        </w:rPr>
        <w:t>]</w:t>
      </w:r>
      <w:r w:rsidRPr="00694D7B">
        <w:rPr>
          <w:lang w:val="en-US"/>
        </w:rPr>
        <w:tab/>
        <w:t>B. Dallinger, “Model-based Analysis and Design of an improved European Electricity Market with high shares of Renewable Generation Technologies”, Dissertation, Technical University Vienna, 2018, &lt;http://repositum.tuwien.ac.at/obvutwhs/download/pdf/3381277&gt;.</w:t>
      </w:r>
    </w:p>
    <w:p w14:paraId="326062CB" w14:textId="48D9701E" w:rsidR="0004706A" w:rsidRPr="00694D7B" w:rsidRDefault="0004706A" w:rsidP="00207A71">
      <w:pPr>
        <w:pStyle w:val="Literatur"/>
        <w:rPr>
          <w:lang w:val="en-US"/>
        </w:rPr>
      </w:pPr>
      <w:r w:rsidRPr="00694D7B">
        <w:rPr>
          <w:lang w:val="en-US"/>
        </w:rPr>
        <w:t>[</w:t>
      </w:r>
      <w:r w:rsidR="006A4583">
        <w:rPr>
          <w:lang w:val="en-US"/>
        </w:rPr>
        <w:t>5</w:t>
      </w:r>
      <w:r w:rsidRPr="00694D7B">
        <w:rPr>
          <w:lang w:val="en-US"/>
        </w:rPr>
        <w:t>]</w:t>
      </w:r>
      <w:r w:rsidRPr="00694D7B">
        <w:rPr>
          <w:lang w:val="en-US"/>
        </w:rPr>
        <w:tab/>
      </w:r>
      <w:r w:rsidR="00207A71" w:rsidRPr="00694D7B">
        <w:rPr>
          <w:lang w:val="en-US"/>
        </w:rPr>
        <w:t>ENTSO-E, “TYNDP 2020 Scenario Report”, 2020, &lt;https://www.entsos-tyndp2020-scenarios.eu/wp-content/uploads/2020/06/TYNDP_2020_Joint_ScenarioReport_final.pdf&gt;.</w:t>
      </w:r>
    </w:p>
    <w:p w14:paraId="36BAD94B" w14:textId="58AF02BE" w:rsidR="00207A71" w:rsidRPr="005E2B4E" w:rsidRDefault="00207A71" w:rsidP="00207A71">
      <w:pPr>
        <w:pStyle w:val="Literatur"/>
        <w:rPr>
          <w:lang w:val="de-AT"/>
        </w:rPr>
      </w:pPr>
      <w:r w:rsidRPr="005E2B4E">
        <w:rPr>
          <w:lang w:val="de-AT"/>
        </w:rPr>
        <w:t>[</w:t>
      </w:r>
      <w:r w:rsidR="006A4583">
        <w:rPr>
          <w:lang w:val="de-AT"/>
        </w:rPr>
        <w:t>6</w:t>
      </w:r>
      <w:r w:rsidRPr="005E2B4E">
        <w:rPr>
          <w:lang w:val="de-AT"/>
        </w:rPr>
        <w:t>]</w:t>
      </w:r>
      <w:r w:rsidRPr="005E2B4E">
        <w:rPr>
          <w:lang w:val="de-AT"/>
        </w:rPr>
        <w:tab/>
        <w:t xml:space="preserve">ENTSO-E, “Transparency </w:t>
      </w:r>
      <w:proofErr w:type="spellStart"/>
      <w:r w:rsidRPr="005E2B4E">
        <w:rPr>
          <w:lang w:val="de-AT"/>
        </w:rPr>
        <w:t>Platform</w:t>
      </w:r>
      <w:proofErr w:type="spellEnd"/>
      <w:r w:rsidRPr="005E2B4E">
        <w:rPr>
          <w:lang w:val="de-AT"/>
        </w:rPr>
        <w:t>“, 2020, &lt;https://transparency.entsoe.eu&gt;.</w:t>
      </w:r>
    </w:p>
    <w:p w14:paraId="556F18D5" w14:textId="332BEB76" w:rsidR="005E4D4F" w:rsidRPr="005E2B4E" w:rsidRDefault="00E7762C" w:rsidP="00227125">
      <w:pPr>
        <w:pStyle w:val="Literatur"/>
        <w:rPr>
          <w:lang w:val="de-AT"/>
        </w:rPr>
      </w:pPr>
      <w:r w:rsidRPr="005E2B4E">
        <w:rPr>
          <w:lang w:val="de-AT"/>
        </w:rPr>
        <w:t>[</w:t>
      </w:r>
      <w:r w:rsidR="006A4583">
        <w:rPr>
          <w:lang w:val="de-AT"/>
        </w:rPr>
        <w:t>7</w:t>
      </w:r>
      <w:r w:rsidRPr="005E2B4E">
        <w:rPr>
          <w:lang w:val="de-AT"/>
        </w:rPr>
        <w:t>]</w:t>
      </w:r>
      <w:r w:rsidRPr="005E2B4E">
        <w:rPr>
          <w:lang w:val="de-AT"/>
        </w:rPr>
        <w:tab/>
        <w:t>https://www.apg.at/de/projekte/abs4tso</w:t>
      </w:r>
    </w:p>
    <w:sectPr w:rsidR="005E4D4F" w:rsidRPr="005E2B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6BD74" w14:textId="77777777" w:rsidR="00717AD8" w:rsidRDefault="00717AD8">
      <w:r>
        <w:separator/>
      </w:r>
    </w:p>
  </w:endnote>
  <w:endnote w:type="continuationSeparator" w:id="0">
    <w:p w14:paraId="0D6ED58C" w14:textId="77777777" w:rsidR="00717AD8" w:rsidRDefault="00717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FB1C8" w14:textId="77777777" w:rsidR="00717AD8" w:rsidRDefault="00717AD8">
      <w:r>
        <w:separator/>
      </w:r>
    </w:p>
  </w:footnote>
  <w:footnote w:type="continuationSeparator" w:id="0">
    <w:p w14:paraId="1F443766" w14:textId="77777777" w:rsidR="00717AD8" w:rsidRDefault="00717AD8">
      <w:r>
        <w:continuationSeparator/>
      </w:r>
    </w:p>
  </w:footnote>
  <w:footnote w:id="1">
    <w:p w14:paraId="170E13B5" w14:textId="00CE3612" w:rsidR="00207A71" w:rsidRPr="00FB69AE" w:rsidRDefault="00207A71" w:rsidP="00E7762C">
      <w:r w:rsidRPr="00A115D2">
        <w:rPr>
          <w:rStyle w:val="Funotenzeichen"/>
        </w:rPr>
        <w:footnoteRef/>
      </w:r>
      <w:r w:rsidRPr="00D53E86">
        <w:t xml:space="preserve"> </w:t>
      </w:r>
      <w:r w:rsidR="00E7762C" w:rsidRPr="004F53B2">
        <w:t>TU Wien</w:t>
      </w:r>
      <w:r w:rsidR="00E7762C">
        <w:t xml:space="preserve"> </w:t>
      </w:r>
      <w:r w:rsidR="00234FE1">
        <w:t>- Energy Economics Group</w:t>
      </w:r>
      <w:r w:rsidR="00E7762C" w:rsidRPr="004F53B2">
        <w:t xml:space="preserve">, </w:t>
      </w:r>
      <w:proofErr w:type="spellStart"/>
      <w:r w:rsidR="00E7762C" w:rsidRPr="004F53B2">
        <w:t>Gußhausstraße</w:t>
      </w:r>
      <w:proofErr w:type="spellEnd"/>
      <w:r w:rsidR="00E7762C" w:rsidRPr="004F53B2">
        <w:t xml:space="preserve"> 25-29/E370-3, A-1040 Wien, Tel.: +43-(0)1-58801-37</w:t>
      </w:r>
      <w:r w:rsidR="00E7762C">
        <w:t>6</w:t>
      </w:r>
      <w:r w:rsidR="00E7762C" w:rsidRPr="004F53B2">
        <w:t xml:space="preserve">, </w:t>
      </w:r>
      <w:r w:rsidR="00E7762C">
        <w:t>lettner</w:t>
      </w:r>
      <w:r w:rsidR="00E7762C" w:rsidRPr="004F53B2">
        <w:t>@eeg.tuwien.ac.at, www.eeg.tuwien.ac.a</w:t>
      </w:r>
      <w:r w:rsidR="00C61FE9">
        <w:t>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5071F"/>
    <w:multiLevelType w:val="multilevel"/>
    <w:tmpl w:val="0978BA90"/>
    <w:numStyleLink w:val="Aufzhlung"/>
  </w:abstractNum>
  <w:abstractNum w:abstractNumId="1" w15:restartNumberingAfterBreak="0">
    <w:nsid w:val="17567494"/>
    <w:multiLevelType w:val="hybridMultilevel"/>
    <w:tmpl w:val="0978BA90"/>
    <w:lvl w:ilvl="0" w:tplc="085E66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16DAF"/>
    <w:multiLevelType w:val="hybridMultilevel"/>
    <w:tmpl w:val="5B94BDCE"/>
    <w:lvl w:ilvl="0" w:tplc="0C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448C0"/>
    <w:multiLevelType w:val="hybridMultilevel"/>
    <w:tmpl w:val="4D4244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57B67"/>
    <w:multiLevelType w:val="hybridMultilevel"/>
    <w:tmpl w:val="E1CC00C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75967"/>
    <w:multiLevelType w:val="multilevel"/>
    <w:tmpl w:val="0978BA90"/>
    <w:numStyleLink w:val="Aufzhlung"/>
  </w:abstractNum>
  <w:abstractNum w:abstractNumId="6" w15:restartNumberingAfterBreak="0">
    <w:nsid w:val="6A2729E0"/>
    <w:multiLevelType w:val="hybridMultilevel"/>
    <w:tmpl w:val="5B08BF8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5E4F19"/>
    <w:multiLevelType w:val="multilevel"/>
    <w:tmpl w:val="0978BA90"/>
    <w:styleLink w:val="Aufzhlung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A122C"/>
    <w:multiLevelType w:val="hybridMultilevel"/>
    <w:tmpl w:val="C55CE5C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K0MDM1NjEzMDQ2NDFX0lEKTi0uzszPAykwrAUAX6v8WSwAAAA="/>
  </w:docVars>
  <w:rsids>
    <w:rsidRoot w:val="005E4D4F"/>
    <w:rsid w:val="00010E92"/>
    <w:rsid w:val="0001429B"/>
    <w:rsid w:val="0002428E"/>
    <w:rsid w:val="00025831"/>
    <w:rsid w:val="0004706A"/>
    <w:rsid w:val="000950FB"/>
    <w:rsid w:val="000970D0"/>
    <w:rsid w:val="000A438D"/>
    <w:rsid w:val="000D5438"/>
    <w:rsid w:val="000E3AA8"/>
    <w:rsid w:val="000F32FE"/>
    <w:rsid w:val="0016241E"/>
    <w:rsid w:val="001A3004"/>
    <w:rsid w:val="002014D3"/>
    <w:rsid w:val="00207A71"/>
    <w:rsid w:val="00227125"/>
    <w:rsid w:val="00234FE1"/>
    <w:rsid w:val="00242D84"/>
    <w:rsid w:val="002627C3"/>
    <w:rsid w:val="00262FD5"/>
    <w:rsid w:val="002726B7"/>
    <w:rsid w:val="00273EE5"/>
    <w:rsid w:val="00274432"/>
    <w:rsid w:val="00282A84"/>
    <w:rsid w:val="002946B8"/>
    <w:rsid w:val="0029643E"/>
    <w:rsid w:val="002B6E9B"/>
    <w:rsid w:val="002D5B8D"/>
    <w:rsid w:val="002F4145"/>
    <w:rsid w:val="002F41B4"/>
    <w:rsid w:val="00350F98"/>
    <w:rsid w:val="00372E07"/>
    <w:rsid w:val="00376CE0"/>
    <w:rsid w:val="003B676F"/>
    <w:rsid w:val="003C28FE"/>
    <w:rsid w:val="004359A3"/>
    <w:rsid w:val="00483B87"/>
    <w:rsid w:val="00502C4E"/>
    <w:rsid w:val="005729AB"/>
    <w:rsid w:val="005B17AE"/>
    <w:rsid w:val="005B1ADB"/>
    <w:rsid w:val="005D163F"/>
    <w:rsid w:val="005E2B4E"/>
    <w:rsid w:val="005E4D4F"/>
    <w:rsid w:val="0064764D"/>
    <w:rsid w:val="00662221"/>
    <w:rsid w:val="00662525"/>
    <w:rsid w:val="00694D7B"/>
    <w:rsid w:val="006A4583"/>
    <w:rsid w:val="006B7422"/>
    <w:rsid w:val="006C06F3"/>
    <w:rsid w:val="006D6B7E"/>
    <w:rsid w:val="007057FF"/>
    <w:rsid w:val="00717AD8"/>
    <w:rsid w:val="007242EA"/>
    <w:rsid w:val="00724F85"/>
    <w:rsid w:val="007378C8"/>
    <w:rsid w:val="00741EC0"/>
    <w:rsid w:val="00744028"/>
    <w:rsid w:val="007846A0"/>
    <w:rsid w:val="007B50CB"/>
    <w:rsid w:val="007F3F24"/>
    <w:rsid w:val="007F5B16"/>
    <w:rsid w:val="00803917"/>
    <w:rsid w:val="008678D0"/>
    <w:rsid w:val="008B4FFB"/>
    <w:rsid w:val="009903DA"/>
    <w:rsid w:val="009B6C07"/>
    <w:rsid w:val="00A07737"/>
    <w:rsid w:val="00A156E4"/>
    <w:rsid w:val="00A603D6"/>
    <w:rsid w:val="00A6148D"/>
    <w:rsid w:val="00AC3991"/>
    <w:rsid w:val="00AD4C7F"/>
    <w:rsid w:val="00B02205"/>
    <w:rsid w:val="00B0428F"/>
    <w:rsid w:val="00B15075"/>
    <w:rsid w:val="00B7191C"/>
    <w:rsid w:val="00BF05FA"/>
    <w:rsid w:val="00C0699B"/>
    <w:rsid w:val="00C61FE9"/>
    <w:rsid w:val="00C873B0"/>
    <w:rsid w:val="00CE1A70"/>
    <w:rsid w:val="00D01A7F"/>
    <w:rsid w:val="00D53E86"/>
    <w:rsid w:val="00D736F8"/>
    <w:rsid w:val="00DD65E9"/>
    <w:rsid w:val="00E31894"/>
    <w:rsid w:val="00E43030"/>
    <w:rsid w:val="00E520E6"/>
    <w:rsid w:val="00E7762C"/>
    <w:rsid w:val="00F31CA2"/>
    <w:rsid w:val="00F37627"/>
    <w:rsid w:val="00F459B8"/>
    <w:rsid w:val="00FB69AE"/>
    <w:rsid w:val="00FD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CFC0C6"/>
  <w15:chartTrackingRefBased/>
  <w15:docId w15:val="{59B9B081-1316-4B2C-9D1D-FBDAB809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27125"/>
    <w:pPr>
      <w:jc w:val="both"/>
    </w:pPr>
    <w:rPr>
      <w:rFonts w:ascii="Arial" w:hAnsi="Arial"/>
      <w:szCs w:val="24"/>
      <w:lang w:eastAsia="ko-K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aliases w:val="Footnote Reference Number,-E Fußnotenzeichen,(Diplomarbeit FZ),(Diplomarbeit FZ)1,(Diplomarbeit FZ)2,(Diplomarbeit FZ)3,(Diplomarbeit FZ)4,(Diplomarbeit FZ)5,(Diplomarbeit FZ)6,(Diplomarbeit FZ)7,(Diplomarbeit FZ)8,(Diplomarbeit FZ)9"/>
    <w:semiHidden/>
    <w:rsid w:val="005E4D4F"/>
    <w:rPr>
      <w:vertAlign w:val="superscript"/>
    </w:rPr>
  </w:style>
  <w:style w:type="paragraph" w:styleId="Titel">
    <w:name w:val="Title"/>
    <w:basedOn w:val="Standard"/>
    <w:link w:val="TitelZchn"/>
    <w:qFormat/>
    <w:rsid w:val="005E4D4F"/>
    <w:pPr>
      <w:pageBreakBefore/>
      <w:spacing w:before="120" w:after="120"/>
      <w:jc w:val="center"/>
    </w:pPr>
    <w:rPr>
      <w:b/>
      <w:snapToGrid w:val="0"/>
      <w:kern w:val="28"/>
      <w:sz w:val="32"/>
      <w:szCs w:val="20"/>
      <w:lang w:eastAsia="en-US"/>
    </w:rPr>
  </w:style>
  <w:style w:type="numbering" w:customStyle="1" w:styleId="Aufzhlung">
    <w:name w:val="Aufzählung"/>
    <w:basedOn w:val="KeineListe"/>
    <w:rsid w:val="00227125"/>
    <w:pPr>
      <w:numPr>
        <w:numId w:val="2"/>
      </w:numPr>
    </w:pPr>
  </w:style>
  <w:style w:type="paragraph" w:customStyle="1" w:styleId="Abbildungsbeschriftung">
    <w:name w:val="Abbildungsbeschriftung"/>
    <w:basedOn w:val="Standard"/>
    <w:rsid w:val="002946B8"/>
    <w:rPr>
      <w:i/>
      <w:iCs/>
    </w:rPr>
  </w:style>
  <w:style w:type="character" w:customStyle="1" w:styleId="TitelZchn">
    <w:name w:val="Titel Zchn"/>
    <w:link w:val="Titel"/>
    <w:rsid w:val="005E4D4F"/>
    <w:rPr>
      <w:rFonts w:ascii="Arial" w:hAnsi="Arial"/>
      <w:b/>
      <w:snapToGrid w:val="0"/>
      <w:kern w:val="28"/>
      <w:sz w:val="32"/>
      <w:lang w:val="de-DE" w:eastAsia="en-US" w:bidi="ar-SA"/>
    </w:rPr>
  </w:style>
  <w:style w:type="paragraph" w:customStyle="1" w:styleId="Ueberschrift">
    <w:name w:val="Ueberschrift"/>
    <w:basedOn w:val="Standard"/>
    <w:link w:val="UeberschriftChar"/>
    <w:rsid w:val="00A07737"/>
    <w:pPr>
      <w:spacing w:before="120" w:after="120"/>
    </w:pPr>
    <w:rPr>
      <w:b/>
      <w:spacing w:val="-5"/>
      <w:sz w:val="22"/>
      <w:lang w:eastAsia="de-DE"/>
    </w:rPr>
  </w:style>
  <w:style w:type="character" w:customStyle="1" w:styleId="UeberschriftChar">
    <w:name w:val="Ueberschrift Char"/>
    <w:link w:val="Ueberschrift"/>
    <w:rsid w:val="00A07737"/>
    <w:rPr>
      <w:rFonts w:ascii="Arial" w:hAnsi="Arial"/>
      <w:b/>
      <w:spacing w:val="-5"/>
      <w:sz w:val="22"/>
      <w:szCs w:val="24"/>
      <w:lang w:val="de-DE" w:eastAsia="de-DE" w:bidi="ar-SA"/>
    </w:rPr>
  </w:style>
  <w:style w:type="paragraph" w:customStyle="1" w:styleId="Abstract-Titel">
    <w:name w:val="Abstract-Titel"/>
    <w:basedOn w:val="Titel"/>
    <w:rsid w:val="005E4D4F"/>
    <w:rPr>
      <w:rFonts w:cs="Arial"/>
    </w:rPr>
  </w:style>
  <w:style w:type="paragraph" w:customStyle="1" w:styleId="AutorenOrganisation">
    <w:name w:val="Autoren &amp; Organisation"/>
    <w:basedOn w:val="Standard"/>
    <w:rsid w:val="00010E92"/>
    <w:pPr>
      <w:tabs>
        <w:tab w:val="left" w:pos="1560"/>
      </w:tabs>
      <w:overflowPunct w:val="0"/>
      <w:autoSpaceDE w:val="0"/>
      <w:autoSpaceDN w:val="0"/>
      <w:adjustRightInd w:val="0"/>
      <w:jc w:val="center"/>
      <w:textAlignment w:val="baseline"/>
    </w:pPr>
    <w:rPr>
      <w:rFonts w:cs="Arial"/>
      <w:color w:val="181512"/>
      <w:spacing w:val="-5"/>
      <w:sz w:val="24"/>
      <w:lang w:val="de-AT" w:eastAsia="de-DE"/>
    </w:rPr>
  </w:style>
  <w:style w:type="paragraph" w:customStyle="1" w:styleId="Literatur">
    <w:name w:val="Literatur"/>
    <w:basedOn w:val="Standard"/>
    <w:rsid w:val="005E4D4F"/>
    <w:pPr>
      <w:ind w:left="284" w:hanging="284"/>
    </w:pPr>
    <w:rPr>
      <w:rFonts w:cs="Arial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8B4FF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1507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15075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15075"/>
    <w:rPr>
      <w:rFonts w:ascii="Arial" w:hAnsi="Arial"/>
      <w:lang w:eastAsia="ko-K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1507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15075"/>
    <w:rPr>
      <w:rFonts w:ascii="Arial" w:hAnsi="Arial"/>
      <w:b/>
      <w:bCs/>
      <w:lang w:eastAsia="ko-K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507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5075"/>
    <w:rPr>
      <w:rFonts w:ascii="Segoe UI" w:hAnsi="Segoe UI" w:cs="Segoe UI"/>
      <w:sz w:val="18"/>
      <w:szCs w:val="18"/>
      <w:lang w:eastAsia="ko-KR"/>
    </w:rPr>
  </w:style>
  <w:style w:type="paragraph" w:customStyle="1" w:styleId="TITEL0">
    <w:name w:val="TITEL"/>
    <w:rsid w:val="00273EE5"/>
    <w:pPr>
      <w:spacing w:after="240"/>
      <w:jc w:val="center"/>
    </w:pPr>
    <w:rPr>
      <w:rFonts w:ascii="Arial" w:hAnsi="Arial" w:cs="Arial"/>
      <w:b/>
      <w:bCs/>
      <w:kern w:val="32"/>
      <w:sz w:val="36"/>
      <w:szCs w:val="32"/>
    </w:rPr>
  </w:style>
  <w:style w:type="paragraph" w:customStyle="1" w:styleId="Autoren">
    <w:name w:val="Autoren"/>
    <w:basedOn w:val="Standard"/>
    <w:rsid w:val="00273EE5"/>
    <w:pPr>
      <w:spacing w:after="120" w:line="288" w:lineRule="auto"/>
      <w:jc w:val="center"/>
    </w:pPr>
    <w:rPr>
      <w:b/>
      <w:sz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AD4C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7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F61A6F441F984CB6AECB2118722A71" ma:contentTypeVersion="9" ma:contentTypeDescription="Ein neues Dokument erstellen." ma:contentTypeScope="" ma:versionID="da462f0aa69dfb8255958ff47f2218a6">
  <xsd:schema xmlns:xsd="http://www.w3.org/2001/XMLSchema" xmlns:xs="http://www.w3.org/2001/XMLSchema" xmlns:p="http://schemas.microsoft.com/office/2006/metadata/properties" xmlns:ns2="29d054a9-41b7-48a1-8d70-70edad58cda4" targetNamespace="http://schemas.microsoft.com/office/2006/metadata/properties" ma:root="true" ma:fieldsID="cdd91223eee9ad216794ac9a7b9b6a85" ns2:_="">
    <xsd:import namespace="29d054a9-41b7-48a1-8d70-70edad58cd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054a9-41b7-48a1-8d70-70edad58c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F20ED8-AA3D-49AE-9537-DB5D77EC7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054a9-41b7-48a1-8d70-70edad58c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1BE8BF-3DB1-48EA-ABED-FA85507873D0}">
  <ds:schemaRefs>
    <ds:schemaRef ds:uri="http://www.w3.org/XML/1998/namespace"/>
    <ds:schemaRef ds:uri="http://purl.org/dc/dcmitype/"/>
    <ds:schemaRef ds:uri="29d054a9-41b7-48a1-8d70-70edad58cda4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919BC11-F391-4F42-B880-F5991CEE3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TU-Wien Campuslizenz</Company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Gerald</dc:creator>
  <cp:keywords/>
  <cp:lastModifiedBy>Georg Alexander Lettner</cp:lastModifiedBy>
  <cp:revision>2</cp:revision>
  <dcterms:created xsi:type="dcterms:W3CDTF">2021-06-21T09:27:00Z</dcterms:created>
  <dcterms:modified xsi:type="dcterms:W3CDTF">2021-06-21T09:27:00Z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0x010100F3F61A6F441F984CB6AECB2118722A71</vt:lpwstr>
  </property>
</Properties>
</file>