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C899A" w14:textId="491932A7" w:rsidR="005E4D4F" w:rsidRPr="005E4D4F" w:rsidRDefault="00001C21" w:rsidP="005E4D4F">
      <w:pPr>
        <w:pStyle w:val="Abstract-Titel"/>
      </w:pPr>
      <w:r>
        <w:t>Nationaler</w:t>
      </w:r>
      <w:r w:rsidR="00C02D18">
        <w:t xml:space="preserve"> Weg der BürgerInnen zu Energiegemeinschaften</w:t>
      </w:r>
    </w:p>
    <w:p w14:paraId="12B79EC8" w14:textId="77777777" w:rsidR="00BF05FA" w:rsidRDefault="00BF05FA" w:rsidP="00A156E4">
      <w:pPr>
        <w:pStyle w:val="AutorenOrganisation"/>
      </w:pPr>
      <w:r>
        <w:t>Themenbereich</w:t>
      </w:r>
      <w:r w:rsidR="00930207">
        <w:t xml:space="preserve"> 4</w:t>
      </w:r>
      <w:r w:rsidR="00F25BAD">
        <w:t xml:space="preserve"> </w:t>
      </w:r>
    </w:p>
    <w:p w14:paraId="29531D39" w14:textId="77777777" w:rsidR="005E4D4F" w:rsidRPr="005E4D4F" w:rsidRDefault="00F25BAD" w:rsidP="00A156E4">
      <w:pPr>
        <w:pStyle w:val="AutorenOrganisation"/>
      </w:pPr>
      <w:proofErr w:type="spellStart"/>
      <w:r>
        <w:t>Mag.</w:t>
      </w:r>
      <w:r w:rsidRPr="00F25BAD">
        <w:rPr>
          <w:vertAlign w:val="superscript"/>
        </w:rPr>
        <w:t>a</w:t>
      </w:r>
      <w:proofErr w:type="spellEnd"/>
      <w:r>
        <w:t xml:space="preserve"> </w:t>
      </w:r>
      <w:r w:rsidR="00930207">
        <w:t>Katrin</w:t>
      </w:r>
      <w:r w:rsidR="005E4D4F" w:rsidRPr="005E4D4F">
        <w:t xml:space="preserve"> </w:t>
      </w:r>
      <w:r w:rsidR="00930207">
        <w:t>Burgstaller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proofErr w:type="spellStart"/>
      <w:r>
        <w:t>Mag.</w:t>
      </w:r>
      <w:r w:rsidRPr="00F25BAD">
        <w:rPr>
          <w:vertAlign w:val="superscript"/>
        </w:rPr>
        <w:t>a</w:t>
      </w:r>
      <w:proofErr w:type="spellEnd"/>
      <w:r>
        <w:t xml:space="preserve"> </w:t>
      </w:r>
      <w:r w:rsidR="00930207">
        <w:t>Marie-Theres</w:t>
      </w:r>
      <w:r w:rsidR="00010E92" w:rsidRPr="005E4D4F">
        <w:t xml:space="preserve"> </w:t>
      </w:r>
      <w:proofErr w:type="spellStart"/>
      <w:r w:rsidR="00930207">
        <w:t>Holzleitner</w:t>
      </w:r>
      <w:proofErr w:type="spellEnd"/>
      <w:r w:rsidR="009A193F" w:rsidRPr="00010E92" w:rsidDel="009A193F">
        <w:rPr>
          <w:vertAlign w:val="superscript"/>
        </w:rPr>
        <w:t xml:space="preserve"> </w:t>
      </w:r>
      <w:r w:rsidR="009A193F">
        <w:rPr>
          <w:rStyle w:val="Funotenzeichen"/>
        </w:rPr>
        <w:footnoteReference w:id="2"/>
      </w:r>
      <w:r w:rsidR="00A156E4" w:rsidRPr="00A156E4">
        <w:rPr>
          <w:vertAlign w:val="superscript"/>
        </w:rPr>
        <w:t>(</w:t>
      </w:r>
      <w:r w:rsidR="00930207">
        <w:rPr>
          <w:vertAlign w:val="superscript"/>
        </w:rPr>
        <w:t>1</w:t>
      </w:r>
      <w:r w:rsidR="00A156E4">
        <w:rPr>
          <w:vertAlign w:val="superscript"/>
        </w:rPr>
        <w:t>)</w:t>
      </w:r>
    </w:p>
    <w:p w14:paraId="7494E0E1" w14:textId="77777777"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8C1778">
        <w:rPr>
          <w:vertAlign w:val="superscript"/>
        </w:rPr>
        <w:t xml:space="preserve"> </w:t>
      </w:r>
      <w:r w:rsidR="00930207">
        <w:t xml:space="preserve">Energieinstitut an der </w:t>
      </w:r>
      <w:proofErr w:type="gramStart"/>
      <w:r w:rsidR="00930207">
        <w:t>Johannes Kepler Universität</w:t>
      </w:r>
      <w:proofErr w:type="gramEnd"/>
      <w:r w:rsidR="00930207">
        <w:t xml:space="preserve"> Linz</w:t>
      </w:r>
    </w:p>
    <w:p w14:paraId="0E841B64" w14:textId="77777777" w:rsidR="00A07737" w:rsidRPr="005E4D4F" w:rsidRDefault="00A07737" w:rsidP="00FB69AE">
      <w:pPr>
        <w:rPr>
          <w:lang w:val="de-AT"/>
        </w:rPr>
      </w:pPr>
    </w:p>
    <w:p w14:paraId="7D1B8458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23B12CF1" w14:textId="4A3E8A7A" w:rsidR="007E602E" w:rsidRDefault="00B84DB4" w:rsidP="00142856">
      <w:r>
        <w:t xml:space="preserve">Energiegemeinschaften </w:t>
      </w:r>
      <w:r w:rsidR="007E602E">
        <w:t>sind</w:t>
      </w:r>
      <w:r w:rsidR="00A443D2">
        <w:t xml:space="preserve"> neue</w:t>
      </w:r>
      <w:r w:rsidR="007E602E">
        <w:t xml:space="preserve"> wichtige Akteure im Energiesektor</w:t>
      </w:r>
      <w:r w:rsidR="005E0815">
        <w:t xml:space="preserve">. </w:t>
      </w:r>
      <w:r w:rsidR="00142856">
        <w:t xml:space="preserve">Die Grundlage </w:t>
      </w:r>
      <w:r w:rsidR="007E602E">
        <w:t xml:space="preserve">dafür </w:t>
      </w:r>
      <w:r w:rsidR="00142856">
        <w:t>wurde durch das EU Clean Energy Package gelegt</w:t>
      </w:r>
      <w:r w:rsidR="007E602E">
        <w:t>, worin zwei Typen von Energiegemeinschaften definiert wurden</w:t>
      </w:r>
      <w:r w:rsidR="00142856">
        <w:t xml:space="preserve">. </w:t>
      </w:r>
      <w:r w:rsidR="002C49A3">
        <w:t>Einerseits fokussieren Erneuerbare-Energie</w:t>
      </w:r>
      <w:r w:rsidR="00E62786">
        <w:t>-G</w:t>
      </w:r>
      <w:r w:rsidR="00D9732F">
        <w:t>e</w:t>
      </w:r>
      <w:r w:rsidR="002C49A3">
        <w:t xml:space="preserve">meinschaften </w:t>
      </w:r>
      <w:r w:rsidR="00BB71CA">
        <w:t xml:space="preserve">(EEG) </w:t>
      </w:r>
      <w:r w:rsidR="002C49A3">
        <w:t>auf Ausbau, lokale Nutzung und Förderung erneuerbarer Energie</w:t>
      </w:r>
      <w:r w:rsidR="004B46AA">
        <w:t>. A</w:t>
      </w:r>
      <w:r w:rsidR="002C49A3">
        <w:t xml:space="preserve">ndererseits wird mit Bürgerenergiegemeinschaften </w:t>
      </w:r>
      <w:r w:rsidR="00BB71CA">
        <w:t xml:space="preserve">(BEG) </w:t>
      </w:r>
      <w:r w:rsidR="002C49A3" w:rsidRPr="00EF7AEB">
        <w:t>ein neuer Marktakteur</w:t>
      </w:r>
      <w:r w:rsidR="002C49A3">
        <w:t xml:space="preserve"> mit Schwerpunkt auf Strom </w:t>
      </w:r>
      <w:r w:rsidR="00E62786">
        <w:t>eingeführt</w:t>
      </w:r>
      <w:r w:rsidR="002C49A3">
        <w:t xml:space="preserve">, dem eine große Breite an Aktivitäten und Dienstleistungen ermöglicht wird. Gemeinsam ist den beiden, dass die Produktion, Speicherung, Nutzung und der Verkauf von Energie </w:t>
      </w:r>
      <w:r w:rsidR="00E62786">
        <w:t xml:space="preserve">innerhalb der Gemeinschaft </w:t>
      </w:r>
      <w:r w:rsidR="002C49A3">
        <w:t xml:space="preserve">ermöglicht wird. </w:t>
      </w:r>
      <w:r w:rsidR="002D6525">
        <w:t xml:space="preserve"> </w:t>
      </w:r>
    </w:p>
    <w:p w14:paraId="5F15CE86" w14:textId="77777777" w:rsidR="007E602E" w:rsidRDefault="0001161D" w:rsidP="00142856">
      <w:r>
        <w:t xml:space="preserve">Die </w:t>
      </w:r>
      <w:r w:rsidR="007E602E">
        <w:t>k</w:t>
      </w:r>
      <w:r>
        <w:t>onkrete nationale Ausgestaltung der</w:t>
      </w:r>
      <w:r w:rsidR="007E602E">
        <w:t xml:space="preserve"> zwei Formen </w:t>
      </w:r>
      <w:r w:rsidR="00E62786">
        <w:t>von</w:t>
      </w:r>
      <w:r w:rsidR="007E602E">
        <w:t xml:space="preserve"> Energiegemeinschaften mit ihren unterschiedlichen Ausprägungen </w:t>
      </w:r>
      <w:r w:rsidR="002C49A3">
        <w:t xml:space="preserve">aus energierechtlicher Perspektive </w:t>
      </w:r>
      <w:r w:rsidR="007E602E">
        <w:t>ist die zentrale Fragestellung.</w:t>
      </w:r>
    </w:p>
    <w:p w14:paraId="62A0D4A0" w14:textId="77777777" w:rsidR="005E4D4F" w:rsidRPr="005E4D4F" w:rsidRDefault="005E4D4F" w:rsidP="005E4D4F">
      <w:pPr>
        <w:pStyle w:val="Ueberschrift"/>
      </w:pPr>
      <w:r w:rsidRPr="005E4D4F">
        <w:t>Methodische Vorgangsweise</w:t>
      </w:r>
      <w:r w:rsidR="00930207">
        <w:t xml:space="preserve"> </w:t>
      </w:r>
    </w:p>
    <w:p w14:paraId="4F09F82F" w14:textId="55281A71" w:rsidR="005E4D4F" w:rsidRPr="005E4D4F" w:rsidRDefault="002D6525" w:rsidP="00227125">
      <w:r>
        <w:t>Das Clean Energy Package war ein wichtiger Schritt in Richtung Energ</w:t>
      </w:r>
      <w:r w:rsidR="00770B76">
        <w:t xml:space="preserve">iewende auf europäischer Ebene. </w:t>
      </w:r>
      <w:r w:rsidR="00B14519">
        <w:t xml:space="preserve">Die Umsetzungsfrist für Energiegemeinschaften läuft mit Mitte 2021 aus. </w:t>
      </w:r>
      <w:r w:rsidR="00A443D2" w:rsidDel="007E602E">
        <w:t>Die nationale Umsetzung zur Einführung der Energiegemeinschaften ist n</w:t>
      </w:r>
      <w:r w:rsidR="00AF3E9C">
        <w:t>och n</w:t>
      </w:r>
      <w:r w:rsidR="00A443D2" w:rsidDel="007E602E">
        <w:t xml:space="preserve">icht abgeschlossen und liegt als Regierungsvorlage auf. </w:t>
      </w:r>
      <w:r w:rsidR="00B14519">
        <w:t xml:space="preserve">Die </w:t>
      </w:r>
      <w:r w:rsidR="00930207">
        <w:t>methodische Vorgehensweise</w:t>
      </w:r>
      <w:r>
        <w:t xml:space="preserve"> dieser Abhandlung</w:t>
      </w:r>
      <w:r w:rsidR="00930207">
        <w:t xml:space="preserve"> </w:t>
      </w:r>
      <w:r w:rsidR="00B14519">
        <w:t xml:space="preserve">basiert </w:t>
      </w:r>
      <w:r>
        <w:t xml:space="preserve">daher </w:t>
      </w:r>
      <w:r w:rsidR="00930207">
        <w:t xml:space="preserve">grundlegend auf </w:t>
      </w:r>
      <w:r w:rsidR="00B14519">
        <w:t>der</w:t>
      </w:r>
      <w:r w:rsidR="00930207">
        <w:t xml:space="preserve"> Analyse</w:t>
      </w:r>
      <w:r>
        <w:t xml:space="preserve"> der </w:t>
      </w:r>
      <w:r w:rsidR="00662928">
        <w:t>EU-Vorgaben</w:t>
      </w:r>
      <w:r>
        <w:t xml:space="preserve"> sowie</w:t>
      </w:r>
      <w:r w:rsidR="00F25BAD">
        <w:t xml:space="preserve"> der </w:t>
      </w:r>
      <w:r>
        <w:t xml:space="preserve">nationalen </w:t>
      </w:r>
      <w:r w:rsidR="00B14519">
        <w:t xml:space="preserve">Regierungsvorlage </w:t>
      </w:r>
      <w:r>
        <w:t xml:space="preserve">zum </w:t>
      </w:r>
      <w:r w:rsidR="004B46AA" w:rsidRPr="00EF7AEB">
        <w:t>Erneuerbaren-Ausbau-Gesetzespaket</w:t>
      </w:r>
      <w:r w:rsidR="004B46AA">
        <w:t xml:space="preserve"> (</w:t>
      </w:r>
      <w:r>
        <w:t>EAG-Paket</w:t>
      </w:r>
      <w:r w:rsidR="004B46AA">
        <w:t>)</w:t>
      </w:r>
      <w:r>
        <w:t xml:space="preserve"> </w:t>
      </w:r>
      <w:r w:rsidR="00B14519">
        <w:t xml:space="preserve">und deren </w:t>
      </w:r>
      <w:r w:rsidR="00F25BAD">
        <w:t>Gesetzesmaterialien</w:t>
      </w:r>
      <w:r w:rsidR="004B46AA">
        <w:t>. Die Regierungsvorlage zum EAG-Paket enthält die zentralen Bestimmungen für EEG und BEG. Sie</w:t>
      </w:r>
      <w:r w:rsidR="00930207">
        <w:t xml:space="preserve"> </w:t>
      </w:r>
      <w:r w:rsidR="00F94D3E">
        <w:t xml:space="preserve">umfasst die </w:t>
      </w:r>
      <w:r w:rsidR="00F25BAD">
        <w:t xml:space="preserve">Einführung </w:t>
      </w:r>
      <w:r w:rsidR="00065264">
        <w:t xml:space="preserve">des </w:t>
      </w:r>
      <w:r w:rsidR="00F25BAD">
        <w:t>E</w:t>
      </w:r>
      <w:r w:rsidR="00AF3E9C">
        <w:t>rneuerbaren-Ausbau-Gesetzes</w:t>
      </w:r>
      <w:r w:rsidR="00F25BAD">
        <w:t xml:space="preserve"> und </w:t>
      </w:r>
      <w:r w:rsidR="00AF3E9C">
        <w:t xml:space="preserve">die </w:t>
      </w:r>
      <w:r w:rsidR="00F25BAD">
        <w:t xml:space="preserve">Novellierung weiterer </w:t>
      </w:r>
      <w:r w:rsidR="00766995">
        <w:t>zusammenhängender Gesetze</w:t>
      </w:r>
      <w:r w:rsidR="00AF3E9C">
        <w:t>.</w:t>
      </w:r>
      <w:r w:rsidR="00F94D3E">
        <w:t xml:space="preserve"> </w:t>
      </w:r>
      <w:r w:rsidR="00F25BAD">
        <w:t>D</w:t>
      </w:r>
      <w:r w:rsidR="00C02D18">
        <w:t xml:space="preserve">ie einschlägigen </w:t>
      </w:r>
      <w:r w:rsidR="00766995">
        <w:t>Normen werden anhand der Erläuterungen zur Regierungsvorlag</w:t>
      </w:r>
      <w:r w:rsidR="00766995" w:rsidRPr="00B14519">
        <w:t xml:space="preserve">e </w:t>
      </w:r>
      <w:r w:rsidR="00D6623F" w:rsidRPr="00B14519">
        <w:t xml:space="preserve">und den juristischen Auslegungsmethoden </w:t>
      </w:r>
      <w:r w:rsidR="00766995" w:rsidRPr="00B14519">
        <w:t>analysiert.</w:t>
      </w:r>
      <w:r w:rsidR="00A443D2">
        <w:t xml:space="preserve"> Nach In-Kraft-Treten des Gesetzes</w:t>
      </w:r>
      <w:r w:rsidR="004B46AA">
        <w:t>pakets</w:t>
      </w:r>
      <w:r w:rsidR="00A443D2">
        <w:t xml:space="preserve"> werden etwaige Neuerungen in die Analyse miteinbezogen.  </w:t>
      </w:r>
    </w:p>
    <w:p w14:paraId="4C82F8CB" w14:textId="77777777" w:rsidR="005E4D4F" w:rsidRPr="005E4D4F" w:rsidRDefault="005E4D4F" w:rsidP="005E4D4F">
      <w:pPr>
        <w:pStyle w:val="Ueberschrift"/>
      </w:pPr>
      <w:r w:rsidRPr="005E4D4F">
        <w:t>Ergebnisse und Schlussfolgerungen</w:t>
      </w:r>
      <w:r w:rsidR="006B7FA3">
        <w:t xml:space="preserve"> </w:t>
      </w:r>
    </w:p>
    <w:p w14:paraId="578F55CB" w14:textId="6CB07EEF" w:rsidR="0087609E" w:rsidRDefault="00CA52B6" w:rsidP="0087609E">
      <w:pPr>
        <w:rPr>
          <w:rFonts w:cs="Arial"/>
        </w:rPr>
      </w:pPr>
      <w:r w:rsidRPr="00077E5F">
        <w:rPr>
          <w:rFonts w:cs="Arial"/>
        </w:rPr>
        <w:t xml:space="preserve">Innerhalb einer Energiegemeinschaft können die Mitglieder über die Grundstücksgrenze und auch zum Teil über die Ortsgrenze hinaus </w:t>
      </w:r>
      <w:r w:rsidR="0087609E">
        <w:rPr>
          <w:rFonts w:cs="Arial"/>
        </w:rPr>
        <w:t>Energie</w:t>
      </w:r>
      <w:r w:rsidRPr="00077E5F">
        <w:rPr>
          <w:rFonts w:cs="Arial"/>
        </w:rPr>
        <w:t xml:space="preserve"> </w:t>
      </w:r>
      <w:r w:rsidR="004B46AA">
        <w:rPr>
          <w:rFonts w:cs="Arial"/>
        </w:rPr>
        <w:t>erzeugen</w:t>
      </w:r>
      <w:r w:rsidRPr="00077E5F">
        <w:rPr>
          <w:rFonts w:cs="Arial"/>
        </w:rPr>
        <w:t xml:space="preserve">, speichern, </w:t>
      </w:r>
      <w:r w:rsidR="004B46AA" w:rsidRPr="00077E5F">
        <w:rPr>
          <w:rFonts w:cs="Arial"/>
        </w:rPr>
        <w:t>verbrauchen</w:t>
      </w:r>
      <w:r w:rsidR="004B46AA">
        <w:rPr>
          <w:rFonts w:cs="Arial"/>
        </w:rPr>
        <w:t xml:space="preserve"> </w:t>
      </w:r>
      <w:r w:rsidR="004B46AA" w:rsidRPr="00077E5F">
        <w:rPr>
          <w:rFonts w:cs="Arial"/>
        </w:rPr>
        <w:t>und</w:t>
      </w:r>
      <w:r w:rsidR="004B46AA">
        <w:rPr>
          <w:rFonts w:cs="Arial"/>
        </w:rPr>
        <w:t xml:space="preserve"> </w:t>
      </w:r>
      <w:r w:rsidR="00EF7AEB">
        <w:rPr>
          <w:rFonts w:cs="Arial"/>
        </w:rPr>
        <w:t>verkaufen</w:t>
      </w:r>
      <w:r w:rsidRPr="00077E5F">
        <w:rPr>
          <w:rFonts w:cs="Arial"/>
        </w:rPr>
        <w:t>.</w:t>
      </w:r>
      <w:r w:rsidR="00EF7AEB">
        <w:rPr>
          <w:rFonts w:ascii="Segoe UI" w:hAnsi="Segoe UI" w:cs="Segoe UI"/>
          <w:color w:val="2D3748"/>
          <w:shd w:val="clear" w:color="auto" w:fill="FFFFFF"/>
        </w:rPr>
        <w:t xml:space="preserve"> </w:t>
      </w:r>
      <w:r w:rsidR="004B46AA">
        <w:rPr>
          <w:rFonts w:cs="Arial"/>
        </w:rPr>
        <w:t xml:space="preserve">Es </w:t>
      </w:r>
      <w:r w:rsidR="0087609E">
        <w:rPr>
          <w:rFonts w:cs="Arial"/>
        </w:rPr>
        <w:t xml:space="preserve">sollen nun </w:t>
      </w:r>
      <w:r w:rsidR="00B064F8">
        <w:rPr>
          <w:rFonts w:cs="Arial"/>
        </w:rPr>
        <w:t>gleich zwei Energieg</w:t>
      </w:r>
      <w:r w:rsidR="00E62786">
        <w:rPr>
          <w:rFonts w:cs="Arial"/>
        </w:rPr>
        <w:t xml:space="preserve">emeinschaften eingeführt werden. </w:t>
      </w:r>
      <w:r w:rsidR="006E5E67" w:rsidRPr="006E5E67">
        <w:rPr>
          <w:rFonts w:cs="Arial"/>
        </w:rPr>
        <w:t xml:space="preserve">Während </w:t>
      </w:r>
      <w:r w:rsidR="0087609E">
        <w:rPr>
          <w:rFonts w:cs="Arial"/>
        </w:rPr>
        <w:t xml:space="preserve">sich </w:t>
      </w:r>
      <w:r w:rsidR="00EF7AEB">
        <w:rPr>
          <w:rFonts w:cs="Arial"/>
        </w:rPr>
        <w:t>EEG</w:t>
      </w:r>
      <w:r w:rsidR="006E5E67" w:rsidRPr="006E5E67">
        <w:rPr>
          <w:rFonts w:cs="Arial"/>
        </w:rPr>
        <w:t xml:space="preserve"> auf alle erneuerbare</w:t>
      </w:r>
      <w:r w:rsidR="00EF7AEB">
        <w:rPr>
          <w:rFonts w:cs="Arial"/>
        </w:rPr>
        <w:t>n</w:t>
      </w:r>
      <w:r w:rsidR="006E5E67" w:rsidRPr="006E5E67">
        <w:rPr>
          <w:rFonts w:cs="Arial"/>
        </w:rPr>
        <w:t xml:space="preserve"> Energien beziehen, sind </w:t>
      </w:r>
      <w:r w:rsidR="00EF7AEB">
        <w:rPr>
          <w:rFonts w:cs="Arial"/>
        </w:rPr>
        <w:t>BEG</w:t>
      </w:r>
      <w:r w:rsidR="006E5E67" w:rsidRPr="006E5E67">
        <w:rPr>
          <w:rFonts w:cs="Arial"/>
        </w:rPr>
        <w:t xml:space="preserve"> auf </w:t>
      </w:r>
      <w:r w:rsidR="0087609E">
        <w:rPr>
          <w:rFonts w:cs="Arial"/>
        </w:rPr>
        <w:t>Strom</w:t>
      </w:r>
      <w:r w:rsidR="006E5E67" w:rsidRPr="006E5E67">
        <w:rPr>
          <w:rFonts w:cs="Arial"/>
        </w:rPr>
        <w:t xml:space="preserve"> beschränkt. </w:t>
      </w:r>
      <w:r w:rsidR="0087609E">
        <w:rPr>
          <w:rFonts w:cs="Arial"/>
        </w:rPr>
        <w:t>Beide Energiegemeinschaften</w:t>
      </w:r>
      <w:r w:rsidR="0087609E" w:rsidRPr="0047715E">
        <w:rPr>
          <w:rFonts w:cs="Arial"/>
        </w:rPr>
        <w:t xml:space="preserve"> agieren gemeinnützig ohne vorrangige Gewinnabsicht</w:t>
      </w:r>
      <w:r w:rsidR="0087609E">
        <w:rPr>
          <w:rFonts w:cs="Arial"/>
        </w:rPr>
        <w:t>.</w:t>
      </w:r>
    </w:p>
    <w:p w14:paraId="30DB229D" w14:textId="77777777" w:rsidR="0087609E" w:rsidRDefault="0087609E" w:rsidP="006B7FA3">
      <w:pPr>
        <w:rPr>
          <w:rFonts w:cs="Arial"/>
        </w:rPr>
      </w:pPr>
    </w:p>
    <w:p w14:paraId="61CBC104" w14:textId="77777777" w:rsidR="00D419BC" w:rsidRDefault="00E62786" w:rsidP="006B7FA3">
      <w:pPr>
        <w:rPr>
          <w:rFonts w:cs="Arial"/>
        </w:rPr>
      </w:pPr>
      <w:r>
        <w:rPr>
          <w:rFonts w:cs="Arial"/>
        </w:rPr>
        <w:t>In der BEG ist der</w:t>
      </w:r>
      <w:r w:rsidR="00B064F8">
        <w:rPr>
          <w:rFonts w:cs="Arial"/>
        </w:rPr>
        <w:t xml:space="preserve"> Austausch von </w:t>
      </w:r>
      <w:r w:rsidR="00B064F8" w:rsidRPr="00DD449C">
        <w:rPr>
          <w:rFonts w:cs="Arial"/>
        </w:rPr>
        <w:t>Elektrizität</w:t>
      </w:r>
      <w:r w:rsidR="00B064F8">
        <w:rPr>
          <w:rFonts w:cs="Arial"/>
        </w:rPr>
        <w:t xml:space="preserve"> </w:t>
      </w:r>
      <w:r>
        <w:rPr>
          <w:rFonts w:cs="Arial"/>
        </w:rPr>
        <w:t>möglich</w:t>
      </w:r>
      <w:r w:rsidR="00077E5F">
        <w:rPr>
          <w:rFonts w:cs="Arial"/>
        </w:rPr>
        <w:t>, wobei</w:t>
      </w:r>
      <w:r w:rsidR="005E0815">
        <w:rPr>
          <w:rFonts w:cs="Arial"/>
        </w:rPr>
        <w:t xml:space="preserve"> </w:t>
      </w:r>
      <w:r w:rsidR="00B064F8">
        <w:rPr>
          <w:rFonts w:cs="Arial"/>
        </w:rPr>
        <w:t xml:space="preserve">sowohl juristische als auch natürliche Personen teilnehmen </w:t>
      </w:r>
      <w:r w:rsidR="00077E5F">
        <w:rPr>
          <w:rFonts w:cs="Arial"/>
        </w:rPr>
        <w:t xml:space="preserve">können. </w:t>
      </w:r>
      <w:r w:rsidR="004E735D">
        <w:rPr>
          <w:rFonts w:cs="Arial"/>
        </w:rPr>
        <w:t>D</w:t>
      </w:r>
      <w:r w:rsidR="006E5E67">
        <w:rPr>
          <w:rFonts w:cs="Arial"/>
        </w:rPr>
        <w:t>i</w:t>
      </w:r>
      <w:r w:rsidR="004E735D" w:rsidRPr="004E735D">
        <w:rPr>
          <w:rFonts w:cs="Arial"/>
        </w:rPr>
        <w:t xml:space="preserve">e Tätigkeit </w:t>
      </w:r>
      <w:r w:rsidR="004E735D">
        <w:rPr>
          <w:rFonts w:cs="Arial"/>
        </w:rPr>
        <w:t xml:space="preserve">der BEG </w:t>
      </w:r>
      <w:r w:rsidR="004E735D" w:rsidRPr="004E735D">
        <w:rPr>
          <w:rFonts w:cs="Arial"/>
        </w:rPr>
        <w:t xml:space="preserve">umfasst Erzeugung, Verteilung, </w:t>
      </w:r>
      <w:r w:rsidR="004E735D" w:rsidRPr="004B46AA">
        <w:rPr>
          <w:rFonts w:cs="Arial"/>
        </w:rPr>
        <w:t>Versorgung</w:t>
      </w:r>
      <w:r w:rsidR="004E735D" w:rsidRPr="004E735D">
        <w:rPr>
          <w:rFonts w:cs="Arial"/>
        </w:rPr>
        <w:t>, Verbrauch, Aggregierung, Speicherung, Energieeffizienzdienstleistungen sowie Ladeleistungen für Elektrofahrzeuge.</w:t>
      </w:r>
    </w:p>
    <w:p w14:paraId="60B8AA71" w14:textId="77777777" w:rsidR="00B064F8" w:rsidRDefault="004E735D" w:rsidP="006B7FA3">
      <w:pPr>
        <w:rPr>
          <w:rFonts w:cs="Arial"/>
        </w:rPr>
      </w:pPr>
      <w:r w:rsidRPr="004E735D">
        <w:rPr>
          <w:rFonts w:cs="Arial"/>
        </w:rPr>
        <w:t xml:space="preserve"> </w:t>
      </w:r>
    </w:p>
    <w:p w14:paraId="276F91C9" w14:textId="47BC93D3" w:rsidR="006E5E67" w:rsidRDefault="00077E5F" w:rsidP="00CA52B6">
      <w:pPr>
        <w:rPr>
          <w:rFonts w:cs="Arial"/>
        </w:rPr>
      </w:pPr>
      <w:r>
        <w:rPr>
          <w:rFonts w:cs="Arial"/>
        </w:rPr>
        <w:t>Die</w:t>
      </w:r>
      <w:r w:rsidR="00B064F8">
        <w:rPr>
          <w:rFonts w:cs="Arial"/>
        </w:rPr>
        <w:t xml:space="preserve"> </w:t>
      </w:r>
      <w:r w:rsidR="009C1B46" w:rsidRPr="00E33AF7">
        <w:rPr>
          <w:rFonts w:cs="Arial"/>
        </w:rPr>
        <w:t>EEG</w:t>
      </w:r>
      <w:r>
        <w:rPr>
          <w:rFonts w:cs="Arial"/>
        </w:rPr>
        <w:t xml:space="preserve"> hingegen lässt </w:t>
      </w:r>
      <w:r w:rsidR="00B064F8">
        <w:rPr>
          <w:rFonts w:cs="Arial"/>
        </w:rPr>
        <w:t xml:space="preserve">auch </w:t>
      </w:r>
      <w:r w:rsidR="00C802B6">
        <w:rPr>
          <w:rFonts w:cs="Arial"/>
        </w:rPr>
        <w:t xml:space="preserve">sämtliche </w:t>
      </w:r>
      <w:r w:rsidR="00B064F8">
        <w:rPr>
          <w:rFonts w:cs="Arial"/>
        </w:rPr>
        <w:t xml:space="preserve">anderen </w:t>
      </w:r>
      <w:r w:rsidR="00C802B6">
        <w:rPr>
          <w:rFonts w:cs="Arial"/>
        </w:rPr>
        <w:t>erneuerbare</w:t>
      </w:r>
      <w:r w:rsidR="00B064F8">
        <w:rPr>
          <w:rFonts w:cs="Arial"/>
        </w:rPr>
        <w:t>n</w:t>
      </w:r>
      <w:r w:rsidR="00C802B6">
        <w:rPr>
          <w:rFonts w:cs="Arial"/>
        </w:rPr>
        <w:t xml:space="preserve"> Energieträger </w:t>
      </w:r>
      <w:r w:rsidR="00B064F8">
        <w:rPr>
          <w:rFonts w:cs="Arial"/>
        </w:rPr>
        <w:t>zu</w:t>
      </w:r>
      <w:r>
        <w:rPr>
          <w:rFonts w:cs="Arial"/>
        </w:rPr>
        <w:t xml:space="preserve">. </w:t>
      </w:r>
      <w:r w:rsidR="00CA52B6">
        <w:rPr>
          <w:rFonts w:cs="Arial"/>
        </w:rPr>
        <w:t xml:space="preserve">Es soll Energie aus der </w:t>
      </w:r>
      <w:r w:rsidR="00CA52B6" w:rsidRPr="00EF7AEB">
        <w:rPr>
          <w:rFonts w:cs="Arial"/>
        </w:rPr>
        <w:t>Region</w:t>
      </w:r>
      <w:r w:rsidR="00CA52B6">
        <w:rPr>
          <w:rFonts w:cs="Arial"/>
        </w:rPr>
        <w:t xml:space="preserve"> direkt </w:t>
      </w:r>
      <w:r w:rsidR="00CA52B6" w:rsidRPr="004E735D">
        <w:rPr>
          <w:rFonts w:cs="Arial"/>
        </w:rPr>
        <w:t>verwerte</w:t>
      </w:r>
      <w:r w:rsidR="00CA52B6">
        <w:rPr>
          <w:rFonts w:cs="Arial"/>
        </w:rPr>
        <w:t>t werde</w:t>
      </w:r>
      <w:r w:rsidR="00CA52B6" w:rsidRPr="004E735D">
        <w:rPr>
          <w:rFonts w:cs="Arial"/>
        </w:rPr>
        <w:t>n.</w:t>
      </w:r>
      <w:r w:rsidR="00CA52B6">
        <w:rPr>
          <w:rFonts w:cs="Arial"/>
        </w:rPr>
        <w:t xml:space="preserve"> </w:t>
      </w:r>
      <w:r w:rsidR="006E5E67" w:rsidRPr="006E5E67">
        <w:rPr>
          <w:rFonts w:cs="Arial"/>
          <w:szCs w:val="22"/>
          <w:lang w:val="de-AT" w:eastAsia="ar-SA"/>
        </w:rPr>
        <w:t>Eine EEG darf Energie (Strom, Wärme oder Gas) aus erneuerbaren Quellen erzeugen, speichern, verbrauchen und verkaufen</w:t>
      </w:r>
      <w:r w:rsidR="004E735D" w:rsidRPr="00F911F2">
        <w:rPr>
          <w:rFonts w:cs="Arial"/>
          <w:szCs w:val="22"/>
          <w:lang w:val="de-AT" w:eastAsia="ar-SA"/>
        </w:rPr>
        <w:t xml:space="preserve">. </w:t>
      </w:r>
      <w:r w:rsidR="00C802B6">
        <w:rPr>
          <w:rFonts w:cs="Arial"/>
        </w:rPr>
        <w:t>Der</w:t>
      </w:r>
      <w:r w:rsidR="009C1B46" w:rsidRPr="00E33AF7">
        <w:rPr>
          <w:rFonts w:cs="Arial"/>
        </w:rPr>
        <w:t xml:space="preserve"> Teilnehmerkreis </w:t>
      </w:r>
      <w:r w:rsidR="00C802B6">
        <w:rPr>
          <w:rFonts w:cs="Arial"/>
        </w:rPr>
        <w:t xml:space="preserve">ist </w:t>
      </w:r>
      <w:r w:rsidR="009C1B46" w:rsidRPr="00E33AF7">
        <w:rPr>
          <w:rFonts w:cs="Arial"/>
        </w:rPr>
        <w:t>eingeschränkt</w:t>
      </w:r>
      <w:r w:rsidR="00662928">
        <w:rPr>
          <w:rFonts w:cs="Arial"/>
        </w:rPr>
        <w:t xml:space="preserve"> </w:t>
      </w:r>
      <w:r w:rsidR="009C1B46" w:rsidRPr="00E33AF7">
        <w:rPr>
          <w:rFonts w:cs="Arial"/>
        </w:rPr>
        <w:t xml:space="preserve">auf </w:t>
      </w:r>
      <w:r w:rsidR="00E33AF7" w:rsidRPr="00E33AF7">
        <w:rPr>
          <w:rFonts w:cs="Arial"/>
        </w:rPr>
        <w:t>natürliche Personen, Gemeinden, Rechtsträger von Behörden in Bezug auf lokale Dienststellen und sonstige juristische Personen des öffentlichen Rechts</w:t>
      </w:r>
      <w:r w:rsidR="00B064F8">
        <w:rPr>
          <w:rFonts w:cs="Arial"/>
        </w:rPr>
        <w:t xml:space="preserve"> und</w:t>
      </w:r>
      <w:r w:rsidR="00E33AF7" w:rsidRPr="00E33AF7">
        <w:rPr>
          <w:rFonts w:cs="Arial"/>
        </w:rPr>
        <w:t xml:space="preserve"> KMU</w:t>
      </w:r>
      <w:r w:rsidR="00E33AF7">
        <w:rPr>
          <w:rFonts w:cs="Arial"/>
        </w:rPr>
        <w:t>.</w:t>
      </w:r>
      <w:r w:rsidR="00FB439B">
        <w:rPr>
          <w:rFonts w:cs="Arial"/>
        </w:rPr>
        <w:t xml:space="preserve"> </w:t>
      </w:r>
      <w:r w:rsidR="00B064F8">
        <w:rPr>
          <w:rFonts w:cs="Arial"/>
        </w:rPr>
        <w:t>Die</w:t>
      </w:r>
      <w:r w:rsidR="00D8511D">
        <w:rPr>
          <w:rFonts w:cs="Arial"/>
        </w:rPr>
        <w:t xml:space="preserve"> Mitglieder </w:t>
      </w:r>
      <w:r w:rsidR="00B064F8">
        <w:rPr>
          <w:rFonts w:cs="Arial"/>
        </w:rPr>
        <w:t xml:space="preserve">der EEG müssen </w:t>
      </w:r>
      <w:r w:rsidR="00D8511D">
        <w:rPr>
          <w:rFonts w:cs="Arial"/>
        </w:rPr>
        <w:t xml:space="preserve">im Nahebereich </w:t>
      </w:r>
      <w:r w:rsidR="00D8511D" w:rsidRPr="00DD449C">
        <w:rPr>
          <w:rFonts w:cs="Arial"/>
        </w:rPr>
        <w:t>angesiedelt sein</w:t>
      </w:r>
      <w:r>
        <w:rPr>
          <w:rFonts w:cs="Arial"/>
        </w:rPr>
        <w:t>.</w:t>
      </w:r>
      <w:r w:rsidR="004E735D">
        <w:rPr>
          <w:rFonts w:cs="Arial"/>
        </w:rPr>
        <w:t xml:space="preserve"> </w:t>
      </w:r>
    </w:p>
    <w:p w14:paraId="7E389299" w14:textId="77777777" w:rsidR="006E5E67" w:rsidRDefault="006E5E67" w:rsidP="006B7FA3">
      <w:pPr>
        <w:rPr>
          <w:rFonts w:cs="Arial"/>
        </w:rPr>
      </w:pPr>
    </w:p>
    <w:p w14:paraId="5B5CFBD4" w14:textId="6C32AD57" w:rsidR="00667BC6" w:rsidRDefault="00FB439B" w:rsidP="006B7FA3">
      <w:pPr>
        <w:rPr>
          <w:rFonts w:cs="Arial"/>
        </w:rPr>
      </w:pPr>
      <w:r>
        <w:rPr>
          <w:rFonts w:cs="Arial"/>
        </w:rPr>
        <w:t xml:space="preserve">Im Gegensatz dazu </w:t>
      </w:r>
      <w:r w:rsidR="005E0815">
        <w:rPr>
          <w:rFonts w:cs="Arial"/>
        </w:rPr>
        <w:t>müssen</w:t>
      </w:r>
      <w:r>
        <w:rPr>
          <w:rFonts w:cs="Arial"/>
        </w:rPr>
        <w:t xml:space="preserve"> </w:t>
      </w:r>
      <w:r w:rsidR="004E735D" w:rsidRPr="004E735D">
        <w:rPr>
          <w:rFonts w:cs="Arial"/>
        </w:rPr>
        <w:t>Verbraucher und Erzeugungsanlage</w:t>
      </w:r>
      <w:r w:rsidR="004B46AA">
        <w:rPr>
          <w:rFonts w:cs="Arial"/>
        </w:rPr>
        <w:t>n</w:t>
      </w:r>
      <w:r w:rsidR="005E0815">
        <w:rPr>
          <w:rFonts w:cs="Arial"/>
        </w:rPr>
        <w:t xml:space="preserve"> in der BEG </w:t>
      </w:r>
      <w:r w:rsidR="004E735D" w:rsidRPr="004E735D">
        <w:rPr>
          <w:rFonts w:cs="Arial"/>
        </w:rPr>
        <w:t xml:space="preserve">nicht in einem Nahebereich liegen. </w:t>
      </w:r>
      <w:r w:rsidR="00CA52B6">
        <w:rPr>
          <w:rFonts w:cs="Arial"/>
        </w:rPr>
        <w:t>Zudem</w:t>
      </w:r>
      <w:r w:rsidR="004E735D" w:rsidRPr="004E735D">
        <w:rPr>
          <w:rFonts w:cs="Arial"/>
        </w:rPr>
        <w:t xml:space="preserve"> muss der Strom nicht ausschließlich aus erneuerbaren </w:t>
      </w:r>
      <w:r w:rsidR="004B46AA">
        <w:rPr>
          <w:rFonts w:cs="Arial"/>
        </w:rPr>
        <w:t>Energien</w:t>
      </w:r>
      <w:r w:rsidR="004B46AA" w:rsidRPr="004E735D">
        <w:rPr>
          <w:rFonts w:cs="Arial"/>
        </w:rPr>
        <w:t xml:space="preserve"> </w:t>
      </w:r>
      <w:r w:rsidR="004E735D" w:rsidRPr="004E735D">
        <w:rPr>
          <w:rFonts w:cs="Arial"/>
        </w:rPr>
        <w:t>stammen.</w:t>
      </w:r>
    </w:p>
    <w:p w14:paraId="1935E4C9" w14:textId="77777777" w:rsidR="0087609E" w:rsidRDefault="0087609E" w:rsidP="006B7FA3">
      <w:pPr>
        <w:rPr>
          <w:rFonts w:cs="Arial"/>
        </w:rPr>
      </w:pPr>
    </w:p>
    <w:p w14:paraId="4396B4A8" w14:textId="77777777" w:rsidR="006B7FA3" w:rsidRDefault="006B7FA3" w:rsidP="006B7FA3"/>
    <w:p w14:paraId="079D6F5F" w14:textId="77777777" w:rsidR="002946B8" w:rsidRPr="00803917" w:rsidRDefault="002946B8" w:rsidP="00227125"/>
    <w:p w14:paraId="3DC636ED" w14:textId="77777777" w:rsidR="005E4D4F" w:rsidRPr="005E4D4F" w:rsidRDefault="005E4D4F" w:rsidP="00A156E4">
      <w:pPr>
        <w:pStyle w:val="Ueberschrift"/>
      </w:pPr>
      <w:bookmarkStart w:id="0" w:name="_Toc26086066"/>
      <w:bookmarkStart w:id="1" w:name="_Toc68418491"/>
      <w:r w:rsidRPr="005E4D4F">
        <w:t>Literatur</w:t>
      </w:r>
      <w:bookmarkEnd w:id="0"/>
      <w:bookmarkEnd w:id="1"/>
    </w:p>
    <w:p w14:paraId="7835EA66" w14:textId="77777777" w:rsidR="005E4D4F" w:rsidRDefault="00483B87" w:rsidP="00D6623F">
      <w:pPr>
        <w:pStyle w:val="Literatur"/>
      </w:pPr>
      <w:r>
        <w:t>[1]</w:t>
      </w:r>
      <w:r>
        <w:tab/>
      </w:r>
      <w:r w:rsidR="00D6623F" w:rsidRPr="00065264">
        <w:t xml:space="preserve">Teile dieser Ausführungen basieren auf den Ergebnissen des Forschungsprojektes </w:t>
      </w:r>
      <w:r w:rsidR="006B7FA3" w:rsidRPr="00065264">
        <w:t xml:space="preserve">PMO </w:t>
      </w:r>
      <w:r w:rsidR="00D6623F" w:rsidRPr="00065264">
        <w:t xml:space="preserve">(Pocket </w:t>
      </w:r>
      <w:proofErr w:type="spellStart"/>
      <w:r w:rsidR="00D6623F" w:rsidRPr="00065264">
        <w:t>Mannerhatten</w:t>
      </w:r>
      <w:proofErr w:type="spellEnd"/>
      <w:r w:rsidR="00D6623F" w:rsidRPr="00065264">
        <w:t xml:space="preserve">: Umsetzung kollaborativer Stadtstrukturen und räumliche Strategien, </w:t>
      </w:r>
      <w:r w:rsidR="006B7FA3" w:rsidRPr="00065264">
        <w:t>FFG Nr. 864967</w:t>
      </w:r>
      <w:r w:rsidR="00D6623F" w:rsidRPr="00065264">
        <w:t>)</w:t>
      </w:r>
      <w:r w:rsidR="006B7FA3" w:rsidRPr="00065264">
        <w:t>.</w:t>
      </w:r>
      <w:r w:rsidR="006B7FA3">
        <w:t xml:space="preserve"> </w:t>
      </w:r>
    </w:p>
    <w:p w14:paraId="476E561F" w14:textId="77777777"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0D252" w14:textId="77777777" w:rsidR="00DE65B9" w:rsidRDefault="00DE65B9">
      <w:r>
        <w:separator/>
      </w:r>
    </w:p>
  </w:endnote>
  <w:endnote w:type="continuationSeparator" w:id="0">
    <w:p w14:paraId="03585869" w14:textId="77777777" w:rsidR="00DE65B9" w:rsidRDefault="00DE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AC1E5" w14:textId="77777777" w:rsidR="00DE65B9" w:rsidRDefault="00DE65B9">
      <w:r>
        <w:separator/>
      </w:r>
    </w:p>
  </w:footnote>
  <w:footnote w:type="continuationSeparator" w:id="0">
    <w:p w14:paraId="63BFB170" w14:textId="77777777" w:rsidR="00DE65B9" w:rsidRDefault="00DE65B9">
      <w:r>
        <w:continuationSeparator/>
      </w:r>
    </w:p>
  </w:footnote>
  <w:footnote w:id="1">
    <w:p w14:paraId="01B492B9" w14:textId="6E05002F" w:rsidR="00601B5A" w:rsidRDefault="00D53E86" w:rsidP="002014D3">
      <w:r w:rsidRPr="00A115D2">
        <w:rPr>
          <w:rStyle w:val="Funotenzeichen"/>
        </w:rPr>
        <w:footnoteRef/>
      </w:r>
      <w:r w:rsidR="009A193F">
        <w:t xml:space="preserve"> Jungautor, Kontaktdaten: </w:t>
      </w:r>
      <w:r w:rsidR="009A193F" w:rsidRPr="00F25BAD">
        <w:t>Altenberger Straße 69</w:t>
      </w:r>
      <w:r w:rsidR="009A193F">
        <w:t>,</w:t>
      </w:r>
      <w:r w:rsidR="009A193F" w:rsidRPr="00F25BAD">
        <w:t xml:space="preserve"> 4040 Linz</w:t>
      </w:r>
      <w:r w:rsidR="009A193F">
        <w:t xml:space="preserve">, Telefon: </w:t>
      </w:r>
      <w:r w:rsidR="009A193F" w:rsidRPr="00F25BAD">
        <w:t>+43 732 2468 5668</w:t>
      </w:r>
      <w:r w:rsidR="009A193F">
        <w:t xml:space="preserve">, </w:t>
      </w:r>
      <w:r w:rsidR="004D6817">
        <w:t>E-Mail</w:t>
      </w:r>
      <w:r w:rsidR="009A193F">
        <w:t xml:space="preserve">: </w:t>
      </w:r>
      <w:r w:rsidR="009A193F" w:rsidRPr="00F25BAD">
        <w:t>burgstaller@energieinstitut-linz.at</w:t>
      </w:r>
      <w:r w:rsidR="009A193F">
        <w:t xml:space="preserve">, Web: </w:t>
      </w:r>
      <w:hyperlink r:id="rId1" w:history="1">
        <w:r w:rsidR="009A193F" w:rsidRPr="00BC1D16">
          <w:rPr>
            <w:rStyle w:val="Hyperlink"/>
          </w:rPr>
          <w:t>https://energieinstitut-linz.at/</w:t>
        </w:r>
      </w:hyperlink>
      <w:r w:rsidR="009A193F">
        <w:t xml:space="preserve">. </w:t>
      </w:r>
      <w:r w:rsidR="009A193F" w:rsidDel="009A193F">
        <w:t xml:space="preserve"> </w:t>
      </w:r>
    </w:p>
  </w:footnote>
  <w:footnote w:id="2">
    <w:p w14:paraId="076D745D" w14:textId="50E4FDDD" w:rsidR="009A193F" w:rsidRPr="00770B76" w:rsidRDefault="009A193F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Kontaktdaten: </w:t>
      </w:r>
      <w:r w:rsidRPr="00F25BAD">
        <w:t>Altenberger Straße 69, 4040 Linz</w:t>
      </w:r>
      <w:r>
        <w:t xml:space="preserve">, Telefon, </w:t>
      </w:r>
      <w:r w:rsidR="004D6817">
        <w:t>E-Mail</w:t>
      </w:r>
      <w:r>
        <w:t xml:space="preserve">: +43 732 2468 5675, </w:t>
      </w:r>
      <w:r w:rsidRPr="006B7FA3">
        <w:t>holzleitner@energieinstitut-linz.at</w:t>
      </w:r>
      <w:r>
        <w:t xml:space="preserve">, Web: </w:t>
      </w:r>
      <w:hyperlink r:id="rId2" w:history="1">
        <w:r w:rsidRPr="00BC1D16">
          <w:rPr>
            <w:rStyle w:val="Hyperlink"/>
          </w:rPr>
          <w:t>https://energieinstitut-linz.at/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708D"/>
    <w:multiLevelType w:val="hybridMultilevel"/>
    <w:tmpl w:val="62E8ED8A"/>
    <w:lvl w:ilvl="0" w:tplc="5BA08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AD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AB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4C7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2C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6E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E0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2B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A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77484A"/>
    <w:multiLevelType w:val="hybridMultilevel"/>
    <w:tmpl w:val="E2B018DC"/>
    <w:lvl w:ilvl="0" w:tplc="0B9CA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A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26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C27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C1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8B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08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EF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4B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5071F"/>
    <w:multiLevelType w:val="multilevel"/>
    <w:tmpl w:val="0978BA90"/>
    <w:numStyleLink w:val="Aufzhlung"/>
  </w:abstractNum>
  <w:abstractNum w:abstractNumId="3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329E"/>
    <w:multiLevelType w:val="hybridMultilevel"/>
    <w:tmpl w:val="29667C54"/>
    <w:lvl w:ilvl="0" w:tplc="3BBE4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AC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2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81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A0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E8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CD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64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CC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0C4A56"/>
    <w:multiLevelType w:val="hybridMultilevel"/>
    <w:tmpl w:val="126064D4"/>
    <w:lvl w:ilvl="0" w:tplc="8D5ED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6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AC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C4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AF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0B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85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6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A4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1015BA"/>
    <w:multiLevelType w:val="hybridMultilevel"/>
    <w:tmpl w:val="4F8032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07AE8"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75967"/>
    <w:multiLevelType w:val="multilevel"/>
    <w:tmpl w:val="0978BA90"/>
    <w:numStyleLink w:val="Aufzhlung"/>
  </w:abstractNum>
  <w:abstractNum w:abstractNumId="8" w15:restartNumberingAfterBreak="0">
    <w:nsid w:val="68986A6B"/>
    <w:multiLevelType w:val="hybridMultilevel"/>
    <w:tmpl w:val="AC420164"/>
    <w:lvl w:ilvl="0" w:tplc="BAD0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0A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A9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82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AF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29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2E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22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E1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01C21"/>
    <w:rsid w:val="00010E92"/>
    <w:rsid w:val="0001161D"/>
    <w:rsid w:val="00052BA6"/>
    <w:rsid w:val="00065264"/>
    <w:rsid w:val="00077E5F"/>
    <w:rsid w:val="00142856"/>
    <w:rsid w:val="00154077"/>
    <w:rsid w:val="00162506"/>
    <w:rsid w:val="00162ACA"/>
    <w:rsid w:val="002014D3"/>
    <w:rsid w:val="00227125"/>
    <w:rsid w:val="00262FD5"/>
    <w:rsid w:val="00270562"/>
    <w:rsid w:val="002946B8"/>
    <w:rsid w:val="00297932"/>
    <w:rsid w:val="002C49A3"/>
    <w:rsid w:val="002D6525"/>
    <w:rsid w:val="0030296D"/>
    <w:rsid w:val="00350F98"/>
    <w:rsid w:val="00372E07"/>
    <w:rsid w:val="003A5D7F"/>
    <w:rsid w:val="003B676F"/>
    <w:rsid w:val="003C28FE"/>
    <w:rsid w:val="00413B2F"/>
    <w:rsid w:val="0047715E"/>
    <w:rsid w:val="00483B87"/>
    <w:rsid w:val="004B46AA"/>
    <w:rsid w:val="004D6817"/>
    <w:rsid w:val="004E735D"/>
    <w:rsid w:val="005B1ADB"/>
    <w:rsid w:val="005E0815"/>
    <w:rsid w:val="005E4D4F"/>
    <w:rsid w:val="005F589D"/>
    <w:rsid w:val="00601B5A"/>
    <w:rsid w:val="00625293"/>
    <w:rsid w:val="00641D79"/>
    <w:rsid w:val="00662525"/>
    <w:rsid w:val="00662928"/>
    <w:rsid w:val="00667BC6"/>
    <w:rsid w:val="006B7FA3"/>
    <w:rsid w:val="006E5E67"/>
    <w:rsid w:val="00723D10"/>
    <w:rsid w:val="007378C8"/>
    <w:rsid w:val="00741EC0"/>
    <w:rsid w:val="00766995"/>
    <w:rsid w:val="00770B76"/>
    <w:rsid w:val="007728E0"/>
    <w:rsid w:val="007A3F28"/>
    <w:rsid w:val="007E602E"/>
    <w:rsid w:val="00803917"/>
    <w:rsid w:val="0087609E"/>
    <w:rsid w:val="008A00FC"/>
    <w:rsid w:val="008A7CEE"/>
    <w:rsid w:val="008C1778"/>
    <w:rsid w:val="008F521C"/>
    <w:rsid w:val="00930207"/>
    <w:rsid w:val="009A193F"/>
    <w:rsid w:val="009C1B46"/>
    <w:rsid w:val="009C74B6"/>
    <w:rsid w:val="00A07737"/>
    <w:rsid w:val="00A156E4"/>
    <w:rsid w:val="00A443D2"/>
    <w:rsid w:val="00A6148D"/>
    <w:rsid w:val="00A86B24"/>
    <w:rsid w:val="00A96106"/>
    <w:rsid w:val="00AC146C"/>
    <w:rsid w:val="00AD3296"/>
    <w:rsid w:val="00AF3E9C"/>
    <w:rsid w:val="00B064F8"/>
    <w:rsid w:val="00B14519"/>
    <w:rsid w:val="00B41E64"/>
    <w:rsid w:val="00B447BF"/>
    <w:rsid w:val="00B84DB4"/>
    <w:rsid w:val="00BA2846"/>
    <w:rsid w:val="00BB71CA"/>
    <w:rsid w:val="00BD4E00"/>
    <w:rsid w:val="00BF05FA"/>
    <w:rsid w:val="00C02D18"/>
    <w:rsid w:val="00C07872"/>
    <w:rsid w:val="00C318D5"/>
    <w:rsid w:val="00C406DA"/>
    <w:rsid w:val="00C802B6"/>
    <w:rsid w:val="00C923EF"/>
    <w:rsid w:val="00C95773"/>
    <w:rsid w:val="00CA52B6"/>
    <w:rsid w:val="00CA5CF0"/>
    <w:rsid w:val="00CC6C34"/>
    <w:rsid w:val="00CE1A70"/>
    <w:rsid w:val="00D419BC"/>
    <w:rsid w:val="00D53E86"/>
    <w:rsid w:val="00D6623F"/>
    <w:rsid w:val="00D736F8"/>
    <w:rsid w:val="00D8511D"/>
    <w:rsid w:val="00D9732F"/>
    <w:rsid w:val="00DE65B9"/>
    <w:rsid w:val="00E33AF7"/>
    <w:rsid w:val="00E520E6"/>
    <w:rsid w:val="00E62786"/>
    <w:rsid w:val="00EA62F3"/>
    <w:rsid w:val="00EF7AEB"/>
    <w:rsid w:val="00F07855"/>
    <w:rsid w:val="00F25BAD"/>
    <w:rsid w:val="00F34D6A"/>
    <w:rsid w:val="00F94D3E"/>
    <w:rsid w:val="00FB439B"/>
    <w:rsid w:val="00FB69AE"/>
    <w:rsid w:val="00FC1253"/>
    <w:rsid w:val="00FD27FE"/>
    <w:rsid w:val="00FD5D56"/>
    <w:rsid w:val="00FE29CF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AAB0C"/>
  <w15:docId w15:val="{66B008B3-2435-469C-B5B2-3C5115DF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,o"/>
    <w:uiPriority w:val="99"/>
    <w:qFormat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F25BA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5BAD"/>
    <w:rPr>
      <w:color w:val="605E5C"/>
      <w:shd w:val="clear" w:color="auto" w:fill="E1DFDD"/>
    </w:rPr>
  </w:style>
  <w:style w:type="paragraph" w:styleId="Funotentext">
    <w:name w:val="footnote text"/>
    <w:aliases w:val="Fußnotentext Char1,Fußnotentext Char Char1,Fußnotentext Char2 Char Char,Fußnotentext Char1 Char Char Char,Fußnotentext Char Char Char Char Char,Fußnotentext Char Char1 Char Char,Fußnotentext Char1 Char1 Char,Fußnotentext Char Char"/>
    <w:basedOn w:val="Standard"/>
    <w:link w:val="FunotentextZchn"/>
    <w:uiPriority w:val="99"/>
    <w:unhideWhenUsed/>
    <w:qFormat/>
    <w:rsid w:val="00641D79"/>
    <w:rPr>
      <w:szCs w:val="20"/>
    </w:rPr>
  </w:style>
  <w:style w:type="character" w:customStyle="1" w:styleId="FunotentextZchn">
    <w:name w:val="Fußnotentext Zchn"/>
    <w:aliases w:val="Fußnotentext Char1 Zchn,Fußnotentext Char Char1 Zchn,Fußnotentext Char2 Char Char Zchn,Fußnotentext Char1 Char Char Char Zchn,Fußnotentext Char Char Char Char Char Zchn,Fußnotentext Char Char1 Char Char Zchn,Fußnotentext Char Char Zchn"/>
    <w:basedOn w:val="Absatz-Standardschriftart"/>
    <w:link w:val="Funotentext"/>
    <w:uiPriority w:val="99"/>
    <w:rsid w:val="00641D79"/>
    <w:rPr>
      <w:rFonts w:ascii="Arial" w:hAnsi="Arial"/>
      <w:lang w:eastAsia="ko-K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1D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D7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D79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D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D79"/>
    <w:rPr>
      <w:rFonts w:ascii="Arial" w:hAnsi="Arial"/>
      <w:b/>
      <w:bCs/>
      <w:lang w:eastAsia="ko-KR"/>
    </w:rPr>
  </w:style>
  <w:style w:type="table" w:customStyle="1" w:styleId="Gitternetztabelle5dunkelAkzent31">
    <w:name w:val="Gitternetztabelle 5 dunkel  – Akzent 31"/>
    <w:basedOn w:val="NormaleTabelle"/>
    <w:uiPriority w:val="50"/>
    <w:rsid w:val="006B7F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6B7FA3"/>
    <w:pPr>
      <w:spacing w:after="200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3A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5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525"/>
    <w:rPr>
      <w:rFonts w:ascii="Tahoma" w:hAnsi="Tahoma" w:cs="Tahoma"/>
      <w:sz w:val="16"/>
      <w:szCs w:val="16"/>
      <w:lang w:eastAsia="ko-KR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6292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923EF"/>
    <w:rPr>
      <w:rFonts w:ascii="Arial" w:hAnsi="Arial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nergieinstitut-linz.at/" TargetMode="External"/><Relationship Id="rId1" Type="http://schemas.openxmlformats.org/officeDocument/2006/relationships/hyperlink" Target="https://energieinstitut-linz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58EA-5439-4D2D-83DD-ED450AF5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Gerald</dc:creator>
  <cp:lastModifiedBy>Katrin BURGSTALLER</cp:lastModifiedBy>
  <cp:revision>11</cp:revision>
  <dcterms:created xsi:type="dcterms:W3CDTF">2021-07-13T07:03:00Z</dcterms:created>
  <dcterms:modified xsi:type="dcterms:W3CDTF">2021-07-14T07:13:00Z</dcterms:modified>
</cp:coreProperties>
</file>