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4BA" w:rsidRDefault="00754F2E" w:rsidP="00754F2E">
      <w:pPr>
        <w:pStyle w:val="Abstract-Titel"/>
      </w:pPr>
      <w:r>
        <w:t xml:space="preserve">Modellexperiment zur hoch aufgelösten Untersuchung des zukünftigen Lastausgleichs im Stromsystem – Ein </w:t>
      </w:r>
      <w:proofErr w:type="spellStart"/>
      <w:r>
        <w:t>szenariobasierter</w:t>
      </w:r>
      <w:proofErr w:type="spellEnd"/>
      <w:r>
        <w:t xml:space="preserve"> Vergleich von Modellierungen </w:t>
      </w:r>
    </w:p>
    <w:p w:rsidR="00BF05FA" w:rsidRDefault="00BF05FA" w:rsidP="00A156E4">
      <w:pPr>
        <w:pStyle w:val="AutorenOrganisation"/>
      </w:pPr>
      <w:r>
        <w:t>Themenbereich</w:t>
      </w:r>
      <w:r w:rsidR="002F54BA">
        <w:t xml:space="preserve"> </w:t>
      </w:r>
      <w:r w:rsidR="0096124A">
        <w:t>3</w:t>
      </w:r>
      <w:r w:rsidR="00B60499">
        <w:t xml:space="preserve">: </w:t>
      </w:r>
      <w:r w:rsidR="0096124A" w:rsidRPr="0096124A">
        <w:t>Integrierte Netze der Zukunft</w:t>
      </w:r>
      <w:r w:rsidR="00754F2E">
        <w:t xml:space="preserve"> </w:t>
      </w:r>
      <w:r w:rsidR="00B60499">
        <w:t>–</w:t>
      </w:r>
      <w:r w:rsidR="00754F2E">
        <w:t xml:space="preserve"> </w:t>
      </w:r>
      <w:r w:rsidR="0096124A" w:rsidRPr="0096124A">
        <w:t>Integration Erneuerbarer in das Energiesystem</w:t>
      </w:r>
      <w:r w:rsidR="00B60499">
        <w:t>–</w:t>
      </w:r>
    </w:p>
    <w:p w:rsidR="00A7636C" w:rsidRPr="00A7636C" w:rsidRDefault="0096124A" w:rsidP="00A7636C">
      <w:pPr>
        <w:pStyle w:val="AutorenOrganisation"/>
      </w:pPr>
      <w:r w:rsidRPr="00A7636C">
        <w:t>Hedda GARDIAN</w:t>
      </w:r>
      <w:r w:rsidR="003C3A6A" w:rsidRPr="00010E92">
        <w:rPr>
          <w:vertAlign w:val="superscript"/>
        </w:rPr>
        <w:footnoteReference w:id="1"/>
      </w:r>
      <w:r w:rsidR="003C3A6A" w:rsidRPr="00A7636C">
        <w:rPr>
          <w:vertAlign w:val="superscript"/>
        </w:rPr>
        <w:t xml:space="preserve"> </w:t>
      </w:r>
      <w:r w:rsidRPr="00A7636C">
        <w:rPr>
          <w:vertAlign w:val="superscript"/>
        </w:rPr>
        <w:t>(1</w:t>
      </w:r>
      <w:r>
        <w:rPr>
          <w:vertAlign w:val="superscript"/>
        </w:rPr>
        <w:t>,2</w:t>
      </w:r>
      <w:r w:rsidRPr="00A7636C">
        <w:rPr>
          <w:vertAlign w:val="superscript"/>
        </w:rPr>
        <w:t>)</w:t>
      </w:r>
      <w:r w:rsidRPr="00A7636C">
        <w:t xml:space="preserve">, </w:t>
      </w:r>
      <w:r w:rsidR="002310A1" w:rsidRPr="00A7636C">
        <w:t>Hans Christian GILS</w:t>
      </w:r>
      <w:r w:rsidR="002310A1" w:rsidRPr="00A7636C">
        <w:rPr>
          <w:vertAlign w:val="superscript"/>
        </w:rPr>
        <w:t>(1</w:t>
      </w:r>
      <w:r w:rsidR="00A7636C">
        <w:rPr>
          <w:vertAlign w:val="superscript"/>
        </w:rPr>
        <w:t>,2</w:t>
      </w:r>
      <w:r w:rsidR="002310A1" w:rsidRPr="00A7636C">
        <w:rPr>
          <w:vertAlign w:val="superscript"/>
        </w:rPr>
        <w:t>)</w:t>
      </w:r>
      <w:r w:rsidR="002310A1" w:rsidRPr="00A7636C">
        <w:t xml:space="preserve">, </w:t>
      </w:r>
      <w:r w:rsidR="00A7636C" w:rsidRPr="00A7636C">
        <w:t>Martin KITTEL</w:t>
      </w:r>
      <w:r w:rsidR="00A7636C" w:rsidRPr="00A7636C">
        <w:rPr>
          <w:vertAlign w:val="superscript"/>
        </w:rPr>
        <w:t>(</w:t>
      </w:r>
      <w:r w:rsidR="00A7636C">
        <w:rPr>
          <w:vertAlign w:val="superscript"/>
        </w:rPr>
        <w:t>3</w:t>
      </w:r>
      <w:r w:rsidR="00A7636C" w:rsidRPr="00A7636C">
        <w:rPr>
          <w:vertAlign w:val="superscript"/>
        </w:rPr>
        <w:t>)</w:t>
      </w:r>
      <w:r w:rsidR="00A7636C" w:rsidRPr="00A7636C">
        <w:t>, Wolf-Peter SCHILL</w:t>
      </w:r>
      <w:r w:rsidR="00A7636C" w:rsidRPr="00A7636C">
        <w:rPr>
          <w:vertAlign w:val="superscript"/>
        </w:rPr>
        <w:t>(</w:t>
      </w:r>
      <w:r w:rsidR="00A7636C">
        <w:rPr>
          <w:vertAlign w:val="superscript"/>
        </w:rPr>
        <w:t>3</w:t>
      </w:r>
      <w:r w:rsidR="00A7636C" w:rsidRPr="00A7636C">
        <w:rPr>
          <w:vertAlign w:val="superscript"/>
        </w:rPr>
        <w:t>)</w:t>
      </w:r>
      <w:r w:rsidR="00A7636C" w:rsidRPr="00A7636C">
        <w:t>, Alexander ZERRAHN</w:t>
      </w:r>
      <w:r w:rsidR="00A7636C" w:rsidRPr="00A7636C">
        <w:rPr>
          <w:vertAlign w:val="superscript"/>
        </w:rPr>
        <w:t>(</w:t>
      </w:r>
      <w:r w:rsidR="00A7636C">
        <w:rPr>
          <w:vertAlign w:val="superscript"/>
        </w:rPr>
        <w:t>3</w:t>
      </w:r>
      <w:r w:rsidR="00A7636C" w:rsidRPr="00A7636C">
        <w:rPr>
          <w:vertAlign w:val="superscript"/>
        </w:rPr>
        <w:t>)</w:t>
      </w:r>
      <w:r w:rsidR="00A7636C">
        <w:t>, Alexander MURMANN</w:t>
      </w:r>
      <w:r w:rsidR="00A7636C" w:rsidRPr="00A7636C">
        <w:rPr>
          <w:vertAlign w:val="superscript"/>
        </w:rPr>
        <w:t>(</w:t>
      </w:r>
      <w:r w:rsidR="00A7636C">
        <w:rPr>
          <w:vertAlign w:val="superscript"/>
        </w:rPr>
        <w:t>4</w:t>
      </w:r>
      <w:r w:rsidR="00A7636C" w:rsidRPr="00A7636C">
        <w:rPr>
          <w:vertAlign w:val="superscript"/>
        </w:rPr>
        <w:t>)</w:t>
      </w:r>
      <w:r w:rsidR="00A7636C" w:rsidRPr="00A7636C">
        <w:t xml:space="preserve">, </w:t>
      </w:r>
      <w:r w:rsidR="00A7636C">
        <w:t>Jann LAUNER</w:t>
      </w:r>
      <w:r w:rsidR="00A7636C" w:rsidRPr="00A7636C">
        <w:rPr>
          <w:vertAlign w:val="superscript"/>
        </w:rPr>
        <w:t>(</w:t>
      </w:r>
      <w:r w:rsidR="00A7636C">
        <w:rPr>
          <w:vertAlign w:val="superscript"/>
        </w:rPr>
        <w:t>5</w:t>
      </w:r>
      <w:r w:rsidR="00A7636C" w:rsidRPr="00A7636C">
        <w:rPr>
          <w:vertAlign w:val="superscript"/>
        </w:rPr>
        <w:t>)</w:t>
      </w:r>
      <w:r w:rsidR="00A7636C" w:rsidRPr="00A7636C">
        <w:t xml:space="preserve">, </w:t>
      </w:r>
      <w:r w:rsidR="00A7636C">
        <w:t>Alexander FEHLER</w:t>
      </w:r>
      <w:r w:rsidR="00A7636C" w:rsidRPr="00A7636C">
        <w:rPr>
          <w:vertAlign w:val="superscript"/>
        </w:rPr>
        <w:t>(</w:t>
      </w:r>
      <w:r w:rsidR="00A7636C">
        <w:rPr>
          <w:vertAlign w:val="superscript"/>
        </w:rPr>
        <w:t>6</w:t>
      </w:r>
      <w:r w:rsidR="00A7636C" w:rsidRPr="00A7636C">
        <w:rPr>
          <w:vertAlign w:val="superscript"/>
        </w:rPr>
        <w:t>)</w:t>
      </w:r>
      <w:r w:rsidR="00A7636C" w:rsidRPr="00A7636C">
        <w:t xml:space="preserve">, </w:t>
      </w:r>
      <w:r w:rsidR="00A7636C">
        <w:t>Felix GAUMNITZ</w:t>
      </w:r>
      <w:r w:rsidR="00A7636C" w:rsidRPr="00A7636C">
        <w:rPr>
          <w:vertAlign w:val="superscript"/>
        </w:rPr>
        <w:t>(</w:t>
      </w:r>
      <w:r w:rsidR="00A7636C">
        <w:rPr>
          <w:vertAlign w:val="superscript"/>
        </w:rPr>
        <w:t>6</w:t>
      </w:r>
      <w:r w:rsidR="00A7636C" w:rsidRPr="00A7636C">
        <w:rPr>
          <w:vertAlign w:val="superscript"/>
        </w:rPr>
        <w:t>)</w:t>
      </w:r>
      <w:r w:rsidR="00A7636C" w:rsidRPr="00A7636C">
        <w:t xml:space="preserve"> , </w:t>
      </w:r>
      <w:r w:rsidR="00A7636C">
        <w:t>Jonas van OUWERKERK</w:t>
      </w:r>
      <w:r w:rsidR="00A7636C" w:rsidRPr="00A7636C">
        <w:rPr>
          <w:vertAlign w:val="superscript"/>
        </w:rPr>
        <w:t>(</w:t>
      </w:r>
      <w:r w:rsidR="00A7636C">
        <w:rPr>
          <w:vertAlign w:val="superscript"/>
        </w:rPr>
        <w:t>7,8,9</w:t>
      </w:r>
      <w:r w:rsidR="00A7636C" w:rsidRPr="00A7636C">
        <w:rPr>
          <w:vertAlign w:val="superscript"/>
        </w:rPr>
        <w:t>)</w:t>
      </w:r>
      <w:r w:rsidR="00A7636C" w:rsidRPr="00A7636C">
        <w:t xml:space="preserve">, </w:t>
      </w:r>
      <w:r w:rsidR="00A7636C">
        <w:t xml:space="preserve">Christian </w:t>
      </w:r>
      <w:proofErr w:type="spellStart"/>
      <w:r w:rsidR="00A7636C">
        <w:t>BUßAR</w:t>
      </w:r>
      <w:proofErr w:type="spellEnd"/>
      <w:r w:rsidR="00A7636C" w:rsidRPr="00A7636C">
        <w:rPr>
          <w:vertAlign w:val="superscript"/>
        </w:rPr>
        <w:t>(</w:t>
      </w:r>
      <w:r w:rsidR="00BB2745">
        <w:rPr>
          <w:vertAlign w:val="superscript"/>
        </w:rPr>
        <w:t>7,8,9</w:t>
      </w:r>
      <w:r w:rsidR="00A7636C" w:rsidRPr="00A7636C">
        <w:rPr>
          <w:vertAlign w:val="superscript"/>
        </w:rPr>
        <w:t>)</w:t>
      </w:r>
      <w:r w:rsidR="00A7636C">
        <w:t>, Jennifer MIKURDA</w:t>
      </w:r>
      <w:r w:rsidR="00A7636C" w:rsidRPr="00A7636C">
        <w:rPr>
          <w:vertAlign w:val="superscript"/>
        </w:rPr>
        <w:t>(</w:t>
      </w:r>
      <w:r w:rsidR="00A7636C">
        <w:rPr>
          <w:vertAlign w:val="superscript"/>
        </w:rPr>
        <w:t>10</w:t>
      </w:r>
      <w:r w:rsidR="00A7636C" w:rsidRPr="00A7636C">
        <w:rPr>
          <w:vertAlign w:val="superscript"/>
        </w:rPr>
        <w:t>)</w:t>
      </w:r>
      <w:r w:rsidR="00A7636C" w:rsidRPr="00A7636C">
        <w:t xml:space="preserve">, </w:t>
      </w:r>
      <w:r w:rsidR="00A7636C">
        <w:t>Laura TORRALBA-DIAZ</w:t>
      </w:r>
      <w:r w:rsidR="00A7636C" w:rsidRPr="00A7636C">
        <w:rPr>
          <w:vertAlign w:val="superscript"/>
        </w:rPr>
        <w:t>(</w:t>
      </w:r>
      <w:r w:rsidR="00A7636C">
        <w:rPr>
          <w:vertAlign w:val="superscript"/>
        </w:rPr>
        <w:t>11,</w:t>
      </w:r>
      <w:r w:rsidR="00BB2745">
        <w:rPr>
          <w:vertAlign w:val="superscript"/>
        </w:rPr>
        <w:t>2</w:t>
      </w:r>
      <w:r w:rsidR="00A7636C" w:rsidRPr="00A7636C">
        <w:rPr>
          <w:vertAlign w:val="superscript"/>
        </w:rPr>
        <w:t>)</w:t>
      </w:r>
      <w:r w:rsidR="00A7636C" w:rsidRPr="00A7636C">
        <w:t xml:space="preserve">, </w:t>
      </w:r>
      <w:r w:rsidR="00BB2745">
        <w:t xml:space="preserve">Tomke </w:t>
      </w:r>
      <w:proofErr w:type="spellStart"/>
      <w:r w:rsidR="00BB2745">
        <w:t>JANßEN</w:t>
      </w:r>
      <w:proofErr w:type="spellEnd"/>
      <w:r w:rsidR="00A7636C" w:rsidRPr="00A7636C">
        <w:rPr>
          <w:vertAlign w:val="superscript"/>
        </w:rPr>
        <w:t>(</w:t>
      </w:r>
      <w:r w:rsidR="00BB2745">
        <w:rPr>
          <w:vertAlign w:val="superscript"/>
        </w:rPr>
        <w:t>1</w:t>
      </w:r>
      <w:r w:rsidR="00686B01">
        <w:rPr>
          <w:vertAlign w:val="superscript"/>
        </w:rPr>
        <w:t>2</w:t>
      </w:r>
      <w:r w:rsidR="00A7636C" w:rsidRPr="00A7636C">
        <w:rPr>
          <w:vertAlign w:val="superscript"/>
        </w:rPr>
        <w:t>)</w:t>
      </w:r>
      <w:r w:rsidR="00A7636C" w:rsidRPr="00A7636C">
        <w:t xml:space="preserve">, </w:t>
      </w:r>
      <w:r w:rsidR="00BB2745">
        <w:t>Christine KRÜGER</w:t>
      </w:r>
      <w:r w:rsidR="00A7636C" w:rsidRPr="00A7636C">
        <w:rPr>
          <w:vertAlign w:val="superscript"/>
        </w:rPr>
        <w:t>(</w:t>
      </w:r>
      <w:r w:rsidR="00BB2745">
        <w:rPr>
          <w:vertAlign w:val="superscript"/>
        </w:rPr>
        <w:t>1</w:t>
      </w:r>
      <w:r w:rsidR="00686B01">
        <w:rPr>
          <w:vertAlign w:val="superscript"/>
        </w:rPr>
        <w:t>2</w:t>
      </w:r>
      <w:r w:rsidR="00A7636C" w:rsidRPr="00A7636C">
        <w:rPr>
          <w:vertAlign w:val="superscript"/>
        </w:rPr>
        <w:t>)</w:t>
      </w:r>
    </w:p>
    <w:p w:rsidR="005E4D4F" w:rsidRPr="00A7636C" w:rsidRDefault="005E4D4F" w:rsidP="00A156E4">
      <w:pPr>
        <w:pStyle w:val="AutorenOrganisation"/>
      </w:pPr>
    </w:p>
    <w:p w:rsidR="00B60499" w:rsidRPr="003C3A6A" w:rsidRDefault="0096124A" w:rsidP="00BB2745">
      <w:pPr>
        <w:pStyle w:val="AutorenOrganisation"/>
        <w:numPr>
          <w:ilvl w:val="0"/>
          <w:numId w:val="6"/>
        </w:numPr>
        <w:rPr>
          <w:sz w:val="20"/>
        </w:rPr>
      </w:pPr>
      <w:r w:rsidRPr="003C3A6A">
        <w:rPr>
          <w:sz w:val="20"/>
        </w:rPr>
        <w:t xml:space="preserve">Abteilung </w:t>
      </w:r>
      <w:r w:rsidR="00686B01" w:rsidRPr="003C3A6A">
        <w:rPr>
          <w:sz w:val="20"/>
        </w:rPr>
        <w:t xml:space="preserve">Energiesystemanalyse, </w:t>
      </w:r>
      <w:r w:rsidRPr="003C3A6A">
        <w:rPr>
          <w:sz w:val="20"/>
        </w:rPr>
        <w:t xml:space="preserve">Institut für Vernetzte Energiesysteme, </w:t>
      </w:r>
      <w:r w:rsidR="002310A1" w:rsidRPr="003C3A6A">
        <w:rPr>
          <w:sz w:val="20"/>
        </w:rPr>
        <w:t>Deutsches Zentrum für Luft- und Raumfahrt</w:t>
      </w:r>
      <w:r w:rsidR="00B60499" w:rsidRPr="003C3A6A">
        <w:rPr>
          <w:sz w:val="20"/>
        </w:rPr>
        <w:t xml:space="preserve"> (</w:t>
      </w:r>
      <w:r w:rsidR="002310A1" w:rsidRPr="003C3A6A">
        <w:rPr>
          <w:sz w:val="20"/>
        </w:rPr>
        <w:t>DLR</w:t>
      </w:r>
      <w:r w:rsidR="00B60499" w:rsidRPr="003C3A6A">
        <w:rPr>
          <w:sz w:val="20"/>
        </w:rPr>
        <w:t>)</w:t>
      </w:r>
      <w:r w:rsidR="00686B01" w:rsidRPr="003C3A6A">
        <w:rPr>
          <w:sz w:val="20"/>
        </w:rPr>
        <w:t xml:space="preserve">, </w:t>
      </w:r>
      <w:r w:rsidR="00B60499" w:rsidRPr="003C3A6A">
        <w:rPr>
          <w:sz w:val="20"/>
        </w:rPr>
        <w:t>Stuttgart, Deutschland</w:t>
      </w:r>
    </w:p>
    <w:p w:rsidR="00BB2745" w:rsidRPr="003C3A6A" w:rsidRDefault="00BB2745" w:rsidP="00BB2745">
      <w:pPr>
        <w:pStyle w:val="AutorenOrganisation"/>
        <w:numPr>
          <w:ilvl w:val="0"/>
          <w:numId w:val="6"/>
        </w:numPr>
        <w:rPr>
          <w:sz w:val="20"/>
          <w:lang w:val="en-US"/>
        </w:rPr>
      </w:pPr>
      <w:r w:rsidRPr="003C3A6A">
        <w:rPr>
          <w:sz w:val="20"/>
          <w:lang w:val="en-US"/>
        </w:rPr>
        <w:t>Stuttgart Research Initiative on Integrated Systems Analysis for Energy (</w:t>
      </w:r>
      <w:proofErr w:type="spellStart"/>
      <w:r w:rsidRPr="003C3A6A">
        <w:rPr>
          <w:sz w:val="20"/>
          <w:lang w:val="en-US"/>
        </w:rPr>
        <w:t>STRise</w:t>
      </w:r>
      <w:proofErr w:type="spellEnd"/>
      <w:r w:rsidRPr="003C3A6A">
        <w:rPr>
          <w:sz w:val="20"/>
          <w:lang w:val="en-US"/>
        </w:rPr>
        <w:t>), Stuttgart, Deutschland</w:t>
      </w:r>
    </w:p>
    <w:p w:rsidR="00BB2745" w:rsidRPr="003C3A6A" w:rsidRDefault="00BB2745" w:rsidP="00BB2745">
      <w:pPr>
        <w:pStyle w:val="AutorenOrganisation"/>
        <w:numPr>
          <w:ilvl w:val="0"/>
          <w:numId w:val="6"/>
        </w:numPr>
        <w:rPr>
          <w:sz w:val="20"/>
          <w:lang w:val="de-DE"/>
        </w:rPr>
      </w:pPr>
      <w:r w:rsidRPr="003C3A6A">
        <w:rPr>
          <w:sz w:val="20"/>
          <w:lang w:val="de-DE"/>
        </w:rPr>
        <w:t>Deutsches Institut für Wirtschaftsforschung (DIW Berlin), Berlin, Deutschland</w:t>
      </w:r>
    </w:p>
    <w:p w:rsidR="00BB2745" w:rsidRPr="003C3A6A" w:rsidRDefault="00BB2745" w:rsidP="00BB2745">
      <w:pPr>
        <w:pStyle w:val="AutorenOrganisation"/>
        <w:numPr>
          <w:ilvl w:val="0"/>
          <w:numId w:val="6"/>
        </w:numPr>
        <w:rPr>
          <w:sz w:val="20"/>
          <w:lang w:val="de-DE"/>
        </w:rPr>
      </w:pPr>
      <w:r w:rsidRPr="003C3A6A">
        <w:rPr>
          <w:sz w:val="20"/>
          <w:lang w:val="de-DE"/>
        </w:rPr>
        <w:t>Forschungsstelle für Energiewirtschaft e.V. (</w:t>
      </w:r>
      <w:proofErr w:type="spellStart"/>
      <w:r w:rsidRPr="003C3A6A">
        <w:rPr>
          <w:sz w:val="20"/>
          <w:lang w:val="de-DE"/>
        </w:rPr>
        <w:t>FfE</w:t>
      </w:r>
      <w:proofErr w:type="spellEnd"/>
      <w:r w:rsidRPr="003C3A6A">
        <w:rPr>
          <w:sz w:val="20"/>
          <w:lang w:val="de-DE"/>
        </w:rPr>
        <w:t>), München, Deutschland</w:t>
      </w:r>
    </w:p>
    <w:p w:rsidR="00BB2745" w:rsidRPr="003C3A6A" w:rsidRDefault="00BB2745" w:rsidP="00BB2745">
      <w:pPr>
        <w:pStyle w:val="AutorenOrganisation"/>
        <w:numPr>
          <w:ilvl w:val="0"/>
          <w:numId w:val="6"/>
        </w:numPr>
        <w:rPr>
          <w:sz w:val="20"/>
          <w:lang w:val="de-DE"/>
        </w:rPr>
      </w:pPr>
      <w:r w:rsidRPr="003C3A6A">
        <w:rPr>
          <w:sz w:val="20"/>
          <w:lang w:val="de-DE"/>
        </w:rPr>
        <w:t xml:space="preserve">Reiner </w:t>
      </w:r>
      <w:proofErr w:type="spellStart"/>
      <w:r w:rsidRPr="003C3A6A">
        <w:rPr>
          <w:sz w:val="20"/>
          <w:lang w:val="de-DE"/>
        </w:rPr>
        <w:t>Lemoine</w:t>
      </w:r>
      <w:proofErr w:type="spellEnd"/>
      <w:r w:rsidRPr="003C3A6A">
        <w:rPr>
          <w:sz w:val="20"/>
          <w:lang w:val="de-DE"/>
        </w:rPr>
        <w:t xml:space="preserve"> Institut (RLI), Berlin, Deutschland</w:t>
      </w:r>
    </w:p>
    <w:p w:rsidR="00BB2745" w:rsidRPr="003C3A6A" w:rsidRDefault="00BB2745" w:rsidP="00BB2745">
      <w:pPr>
        <w:pStyle w:val="AutorenOrganisation"/>
        <w:numPr>
          <w:ilvl w:val="0"/>
          <w:numId w:val="6"/>
        </w:numPr>
        <w:rPr>
          <w:sz w:val="20"/>
          <w:lang w:val="de-DE"/>
        </w:rPr>
      </w:pPr>
      <w:r w:rsidRPr="003C3A6A">
        <w:rPr>
          <w:sz w:val="20"/>
        </w:rPr>
        <w:t>Institut für Elektrische Anlagen und Netze, Digitalisierung und Energiewirtschaft (IAEW), RWTH Aachen, Aachen, Deutschland</w:t>
      </w:r>
    </w:p>
    <w:p w:rsidR="00BB2745" w:rsidRPr="003C3A6A" w:rsidRDefault="00BB2745" w:rsidP="00BB2745">
      <w:pPr>
        <w:pStyle w:val="AutorenOrganisation"/>
        <w:numPr>
          <w:ilvl w:val="0"/>
          <w:numId w:val="6"/>
        </w:numPr>
        <w:rPr>
          <w:sz w:val="20"/>
          <w:lang w:val="de-DE"/>
        </w:rPr>
      </w:pPr>
      <w:r w:rsidRPr="003C3A6A">
        <w:rPr>
          <w:sz w:val="20"/>
        </w:rPr>
        <w:t xml:space="preserve">Institut für Stromrichtertechnik und </w:t>
      </w:r>
      <w:proofErr w:type="spellStart"/>
      <w:r w:rsidRPr="003C3A6A">
        <w:rPr>
          <w:sz w:val="20"/>
        </w:rPr>
        <w:t>Elektrische</w:t>
      </w:r>
      <w:proofErr w:type="spellEnd"/>
      <w:r w:rsidRPr="003C3A6A">
        <w:rPr>
          <w:sz w:val="20"/>
        </w:rPr>
        <w:t xml:space="preserve"> Antriebe</w:t>
      </w:r>
      <w:r w:rsidR="00686B01" w:rsidRPr="003C3A6A">
        <w:rPr>
          <w:sz w:val="20"/>
        </w:rPr>
        <w:t xml:space="preserve"> (ISEA)</w:t>
      </w:r>
      <w:r w:rsidRPr="003C3A6A">
        <w:rPr>
          <w:sz w:val="20"/>
        </w:rPr>
        <w:t>, RWTH Aachen, Aachen, Deutschland</w:t>
      </w:r>
    </w:p>
    <w:p w:rsidR="00BB2745" w:rsidRPr="003C3A6A" w:rsidRDefault="00BB2745" w:rsidP="00BB2745">
      <w:pPr>
        <w:pStyle w:val="AutorenOrganisation"/>
        <w:numPr>
          <w:ilvl w:val="0"/>
          <w:numId w:val="6"/>
        </w:numPr>
        <w:rPr>
          <w:sz w:val="20"/>
          <w:lang w:val="en-US"/>
        </w:rPr>
      </w:pPr>
      <w:r w:rsidRPr="003C3A6A">
        <w:rPr>
          <w:sz w:val="20"/>
          <w:lang w:val="en-US"/>
        </w:rPr>
        <w:t>Institute for Power Generation and Storage Systems (</w:t>
      </w:r>
      <w:r w:rsidRPr="003C3A6A">
        <w:rPr>
          <w:iCs/>
          <w:sz w:val="20"/>
          <w:lang w:val="en-US"/>
        </w:rPr>
        <w:t>PGS</w:t>
      </w:r>
      <w:r w:rsidRPr="003C3A6A">
        <w:rPr>
          <w:sz w:val="20"/>
          <w:lang w:val="en-US"/>
        </w:rPr>
        <w:t>), E. ON ERC, RWTH Aachen, Aachen, Deutschland</w:t>
      </w:r>
    </w:p>
    <w:p w:rsidR="00686B01" w:rsidRPr="003C3A6A" w:rsidRDefault="00BB2745" w:rsidP="00686B01">
      <w:pPr>
        <w:pStyle w:val="AutorenOrganisation"/>
        <w:numPr>
          <w:ilvl w:val="0"/>
          <w:numId w:val="6"/>
        </w:numPr>
        <w:rPr>
          <w:sz w:val="20"/>
          <w:lang w:val="de-DE"/>
        </w:rPr>
      </w:pPr>
      <w:r w:rsidRPr="003C3A6A">
        <w:rPr>
          <w:sz w:val="20"/>
          <w:lang w:val="de-DE"/>
        </w:rPr>
        <w:t>Jülich Aachen Research Alliance, JARA</w:t>
      </w:r>
      <w:r w:rsidR="00686B01" w:rsidRPr="003C3A6A">
        <w:rPr>
          <w:sz w:val="20"/>
          <w:lang w:val="de-DE"/>
        </w:rPr>
        <w:t>-Energy</w:t>
      </w:r>
    </w:p>
    <w:p w:rsidR="00686B01" w:rsidRPr="003C3A6A" w:rsidRDefault="00686B01" w:rsidP="00686B01">
      <w:pPr>
        <w:pStyle w:val="AutorenOrganisation"/>
        <w:numPr>
          <w:ilvl w:val="0"/>
          <w:numId w:val="6"/>
        </w:numPr>
        <w:rPr>
          <w:sz w:val="20"/>
          <w:lang w:val="de-DE"/>
        </w:rPr>
      </w:pPr>
      <w:r w:rsidRPr="003C3A6A">
        <w:rPr>
          <w:sz w:val="20"/>
          <w:lang w:val="de-DE"/>
        </w:rPr>
        <w:t>Lehrstuhl für Energiewirtschaft, Uni Duisburg-Essen, Essen, Deutschland</w:t>
      </w:r>
    </w:p>
    <w:p w:rsidR="00686B01" w:rsidRPr="003C3A6A" w:rsidRDefault="00686B01" w:rsidP="00FB69AE">
      <w:pPr>
        <w:pStyle w:val="AutorenOrganisation"/>
        <w:numPr>
          <w:ilvl w:val="0"/>
          <w:numId w:val="6"/>
        </w:numPr>
        <w:rPr>
          <w:sz w:val="20"/>
          <w:lang w:val="de-DE"/>
        </w:rPr>
      </w:pPr>
      <w:r w:rsidRPr="003C3A6A">
        <w:rPr>
          <w:sz w:val="20"/>
          <w:lang w:val="de-DE"/>
        </w:rPr>
        <w:t>Institut für Energiewirtschaft und Rationelle Energieanwendung, Universität Stuttgart, Stuttgart, Deutschland</w:t>
      </w:r>
    </w:p>
    <w:p w:rsidR="002F54BA" w:rsidRPr="003C3A6A" w:rsidRDefault="00686B01" w:rsidP="00FB69AE">
      <w:pPr>
        <w:pStyle w:val="AutorenOrganisation"/>
        <w:numPr>
          <w:ilvl w:val="0"/>
          <w:numId w:val="6"/>
        </w:numPr>
        <w:rPr>
          <w:sz w:val="20"/>
          <w:lang w:val="de-DE"/>
        </w:rPr>
      </w:pPr>
      <w:r w:rsidRPr="003C3A6A">
        <w:rPr>
          <w:sz w:val="20"/>
        </w:rPr>
        <w:t>Wuppertal Institut für Klima, Umwelt, Energie gGmbH (WI), Wuppertal, Deutschland</w:t>
      </w:r>
    </w:p>
    <w:p w:rsidR="005E4D4F" w:rsidRPr="005E4D4F" w:rsidRDefault="005E4D4F" w:rsidP="005E4D4F">
      <w:pPr>
        <w:pStyle w:val="Ueberschrift"/>
      </w:pPr>
      <w:r w:rsidRPr="005E4D4F">
        <w:t>Motivation und zentrale Fragestellung</w:t>
      </w:r>
    </w:p>
    <w:p w:rsidR="00196601" w:rsidRPr="00196601" w:rsidRDefault="006C06FF" w:rsidP="00196601">
      <w:pPr>
        <w:pStyle w:val="Ueberschrift"/>
        <w:rPr>
          <w:b w:val="0"/>
          <w:spacing w:val="0"/>
          <w:sz w:val="20"/>
          <w:lang w:eastAsia="ko-KR"/>
        </w:rPr>
      </w:pPr>
      <w:r w:rsidRPr="00196601">
        <w:rPr>
          <w:b w:val="0"/>
          <w:spacing w:val="0"/>
          <w:sz w:val="20"/>
          <w:lang w:eastAsia="ko-KR"/>
        </w:rPr>
        <w:t xml:space="preserve">Um Strategien für die zukünftige Entwicklung von Energieversorgungssystemen zu untersuchen, wurden </w:t>
      </w:r>
      <w:r>
        <w:rPr>
          <w:b w:val="0"/>
          <w:spacing w:val="0"/>
          <w:sz w:val="20"/>
          <w:lang w:eastAsia="ko-KR"/>
        </w:rPr>
        <w:t>zuletzt</w:t>
      </w:r>
      <w:r w:rsidRPr="00196601">
        <w:rPr>
          <w:b w:val="0"/>
          <w:spacing w:val="0"/>
          <w:sz w:val="20"/>
          <w:lang w:eastAsia="ko-KR"/>
        </w:rPr>
        <w:t xml:space="preserve"> zahlreiche Energiesystemmodelle entwickelt</w:t>
      </w:r>
      <w:r>
        <w:rPr>
          <w:b w:val="0"/>
          <w:spacing w:val="0"/>
          <w:sz w:val="20"/>
          <w:lang w:eastAsia="ko-KR"/>
        </w:rPr>
        <w:t xml:space="preserve"> [1], die</w:t>
      </w:r>
      <w:r w:rsidRPr="00196601">
        <w:rPr>
          <w:b w:val="0"/>
          <w:spacing w:val="0"/>
          <w:sz w:val="20"/>
          <w:lang w:eastAsia="ko-KR"/>
        </w:rPr>
        <w:t xml:space="preserve"> Technologien zur Umwandlung, Speicherung, Nutzung und </w:t>
      </w:r>
      <w:r>
        <w:rPr>
          <w:b w:val="0"/>
          <w:spacing w:val="0"/>
          <w:sz w:val="20"/>
          <w:lang w:eastAsia="ko-KR"/>
        </w:rPr>
        <w:t xml:space="preserve">zum </w:t>
      </w:r>
      <w:r w:rsidRPr="00196601">
        <w:rPr>
          <w:b w:val="0"/>
          <w:spacing w:val="0"/>
          <w:sz w:val="20"/>
          <w:lang w:eastAsia="ko-KR"/>
        </w:rPr>
        <w:t>Transport von Energie stark abstrahiert</w:t>
      </w:r>
      <w:r>
        <w:rPr>
          <w:b w:val="0"/>
          <w:spacing w:val="0"/>
          <w:sz w:val="20"/>
          <w:lang w:eastAsia="ko-KR"/>
        </w:rPr>
        <w:t xml:space="preserve"> abbilden</w:t>
      </w:r>
      <w:r w:rsidRPr="00196601">
        <w:rPr>
          <w:b w:val="0"/>
          <w:spacing w:val="0"/>
          <w:sz w:val="20"/>
          <w:lang w:eastAsia="ko-KR"/>
        </w:rPr>
        <w:t xml:space="preserve">. </w:t>
      </w:r>
      <w:r w:rsidR="00196601" w:rsidRPr="00196601">
        <w:rPr>
          <w:b w:val="0"/>
          <w:spacing w:val="0"/>
          <w:sz w:val="20"/>
          <w:lang w:eastAsia="ko-KR"/>
        </w:rPr>
        <w:t xml:space="preserve">Modellbasierte </w:t>
      </w:r>
      <w:proofErr w:type="spellStart"/>
      <w:r w:rsidR="00196601" w:rsidRPr="00196601">
        <w:rPr>
          <w:b w:val="0"/>
          <w:spacing w:val="0"/>
          <w:sz w:val="20"/>
          <w:lang w:eastAsia="ko-KR"/>
        </w:rPr>
        <w:t>Szenariostudien</w:t>
      </w:r>
      <w:proofErr w:type="spellEnd"/>
      <w:r w:rsidR="00196601" w:rsidRPr="00196601">
        <w:rPr>
          <w:b w:val="0"/>
          <w:spacing w:val="0"/>
          <w:sz w:val="20"/>
          <w:lang w:eastAsia="ko-KR"/>
        </w:rPr>
        <w:t xml:space="preserve"> kommen in der Regel zu unterschiedlichen Ergebnissen und Schlussfolgerungen. Dies liegt an </w:t>
      </w:r>
      <w:r>
        <w:rPr>
          <w:b w:val="0"/>
          <w:spacing w:val="0"/>
          <w:sz w:val="20"/>
          <w:lang w:eastAsia="ko-KR"/>
        </w:rPr>
        <w:t>unterschiedlichen</w:t>
      </w:r>
      <w:r w:rsidR="00196601" w:rsidRPr="00196601">
        <w:rPr>
          <w:b w:val="0"/>
          <w:spacing w:val="0"/>
          <w:sz w:val="20"/>
          <w:lang w:eastAsia="ko-KR"/>
        </w:rPr>
        <w:t xml:space="preserve"> Eingangsdaten</w:t>
      </w:r>
      <w:r>
        <w:rPr>
          <w:b w:val="0"/>
          <w:spacing w:val="0"/>
          <w:sz w:val="20"/>
          <w:lang w:eastAsia="ko-KR"/>
        </w:rPr>
        <w:t xml:space="preserve">, aber auch </w:t>
      </w:r>
      <w:r w:rsidR="00196601" w:rsidRPr="00196601">
        <w:rPr>
          <w:b w:val="0"/>
          <w:spacing w:val="0"/>
          <w:sz w:val="20"/>
          <w:lang w:eastAsia="ko-KR"/>
        </w:rPr>
        <w:t>an den verwendeten Modellen. Dieser Beitrag stellt einige Ergebnisse des FlexMex-Projekts vor, das sich mit dem detaillierten Vergleich von hochaufgelösten Stromsystemmodellen und insbesondere mit der Berücksichtigung von Flexibilität und Sektor</w:t>
      </w:r>
      <w:r w:rsidR="00196601">
        <w:rPr>
          <w:b w:val="0"/>
          <w:spacing w:val="0"/>
          <w:sz w:val="20"/>
          <w:lang w:eastAsia="ko-KR"/>
        </w:rPr>
        <w:t>en</w:t>
      </w:r>
      <w:r w:rsidR="00196601" w:rsidRPr="00196601">
        <w:rPr>
          <w:b w:val="0"/>
          <w:spacing w:val="0"/>
          <w:sz w:val="20"/>
          <w:lang w:eastAsia="ko-KR"/>
        </w:rPr>
        <w:t xml:space="preserve">kopplung beschäftigt. Das Modellexperiment umfasst neun Modelle, für die die Auswirkungen </w:t>
      </w:r>
      <w:r w:rsidR="00FF3E2F">
        <w:rPr>
          <w:b w:val="0"/>
          <w:spacing w:val="0"/>
          <w:sz w:val="20"/>
          <w:lang w:eastAsia="ko-KR"/>
        </w:rPr>
        <w:t>unterschiedlicher</w:t>
      </w:r>
      <w:r w:rsidR="00196601" w:rsidRPr="00196601">
        <w:rPr>
          <w:b w:val="0"/>
          <w:spacing w:val="0"/>
          <w:sz w:val="20"/>
          <w:lang w:eastAsia="ko-KR"/>
        </w:rPr>
        <w:t xml:space="preserve"> Modellierungsansatz und Technologiedarstellung auf die Modellergebnisse umfassend analysiert werden. </w:t>
      </w:r>
    </w:p>
    <w:p w:rsidR="00392F53" w:rsidRDefault="005E4D4F" w:rsidP="00196601">
      <w:pPr>
        <w:pStyle w:val="Ueberschrift"/>
      </w:pPr>
      <w:r w:rsidRPr="005E4D4F">
        <w:t>Methodische Vorgangsweise</w:t>
      </w:r>
    </w:p>
    <w:p w:rsidR="007F0506" w:rsidRDefault="006E0CBD" w:rsidP="006E0CBD">
      <w:pPr>
        <w:pStyle w:val="Ueberschrift"/>
        <w:rPr>
          <w:b w:val="0"/>
          <w:spacing w:val="0"/>
          <w:sz w:val="20"/>
          <w:lang w:eastAsia="ko-KR"/>
        </w:rPr>
      </w:pPr>
      <w:r w:rsidRPr="006E0CBD">
        <w:rPr>
          <w:b w:val="0"/>
          <w:spacing w:val="0"/>
          <w:sz w:val="20"/>
          <w:lang w:eastAsia="ko-KR"/>
        </w:rPr>
        <w:t xml:space="preserve">Der </w:t>
      </w:r>
      <w:r w:rsidR="007F0506">
        <w:rPr>
          <w:b w:val="0"/>
          <w:spacing w:val="0"/>
          <w:sz w:val="20"/>
          <w:lang w:eastAsia="ko-KR"/>
        </w:rPr>
        <w:t xml:space="preserve">hier vorgestellte </w:t>
      </w:r>
      <w:r w:rsidRPr="006E0CBD">
        <w:rPr>
          <w:b w:val="0"/>
          <w:spacing w:val="0"/>
          <w:sz w:val="20"/>
          <w:lang w:eastAsia="ko-KR"/>
        </w:rPr>
        <w:t>erste Teil des Modell</w:t>
      </w:r>
      <w:r w:rsidR="00774C01">
        <w:rPr>
          <w:b w:val="0"/>
          <w:spacing w:val="0"/>
          <w:sz w:val="20"/>
          <w:lang w:eastAsia="ko-KR"/>
        </w:rPr>
        <w:t>experiments</w:t>
      </w:r>
      <w:r w:rsidRPr="006E0CBD">
        <w:rPr>
          <w:b w:val="0"/>
          <w:spacing w:val="0"/>
          <w:sz w:val="20"/>
          <w:lang w:eastAsia="ko-KR"/>
        </w:rPr>
        <w:t xml:space="preserve"> konzentriert sich auf eine detaillierte Analyse der Auswirkungen von Unterschieden in den Modellierungsansätzen und der </w:t>
      </w:r>
      <w:r w:rsidR="00774C01">
        <w:rPr>
          <w:b w:val="0"/>
          <w:spacing w:val="0"/>
          <w:sz w:val="20"/>
          <w:lang w:eastAsia="ko-KR"/>
        </w:rPr>
        <w:t>Implementierung</w:t>
      </w:r>
      <w:r w:rsidRPr="006E0CBD">
        <w:rPr>
          <w:b w:val="0"/>
          <w:spacing w:val="0"/>
          <w:sz w:val="20"/>
          <w:lang w:eastAsia="ko-KR"/>
        </w:rPr>
        <w:t xml:space="preserve"> einzelner Technologien. Um Wechselwirkungen zwischen verschiedenen Modell</w:t>
      </w:r>
      <w:r w:rsidR="00F31CAB">
        <w:rPr>
          <w:b w:val="0"/>
          <w:spacing w:val="0"/>
          <w:sz w:val="20"/>
          <w:lang w:eastAsia="ko-KR"/>
        </w:rPr>
        <w:t>ierungs</w:t>
      </w:r>
      <w:r w:rsidRPr="006E0CBD">
        <w:rPr>
          <w:b w:val="0"/>
          <w:spacing w:val="0"/>
          <w:sz w:val="20"/>
          <w:lang w:eastAsia="ko-KR"/>
        </w:rPr>
        <w:t xml:space="preserve">unterschieden zu </w:t>
      </w:r>
      <w:r w:rsidR="0096124A">
        <w:rPr>
          <w:b w:val="0"/>
          <w:spacing w:val="0"/>
          <w:sz w:val="20"/>
          <w:lang w:eastAsia="ko-KR"/>
        </w:rPr>
        <w:t>reduzieren</w:t>
      </w:r>
      <w:r w:rsidRPr="006E0CBD">
        <w:rPr>
          <w:b w:val="0"/>
          <w:spacing w:val="0"/>
          <w:sz w:val="20"/>
          <w:lang w:eastAsia="ko-KR"/>
        </w:rPr>
        <w:t xml:space="preserve">, werden die betrachteten Flexibilitätsoptionen jeweils einzeln in einem stark vereinfachten System </w:t>
      </w:r>
      <w:r w:rsidR="00B83810">
        <w:rPr>
          <w:b w:val="0"/>
          <w:spacing w:val="0"/>
          <w:sz w:val="20"/>
          <w:lang w:eastAsia="ko-KR"/>
        </w:rPr>
        <w:t xml:space="preserve">mit elf Modellregionen </w:t>
      </w:r>
      <w:r w:rsidRPr="006E0CBD">
        <w:rPr>
          <w:b w:val="0"/>
          <w:spacing w:val="0"/>
          <w:sz w:val="20"/>
          <w:lang w:eastAsia="ko-KR"/>
        </w:rPr>
        <w:t>analysiert. Diese</w:t>
      </w:r>
      <w:r w:rsidR="0046601C">
        <w:rPr>
          <w:b w:val="0"/>
          <w:spacing w:val="0"/>
          <w:sz w:val="20"/>
          <w:lang w:eastAsia="ko-KR"/>
        </w:rPr>
        <w:t>s</w:t>
      </w:r>
      <w:r w:rsidRPr="006E0CBD">
        <w:rPr>
          <w:b w:val="0"/>
          <w:spacing w:val="0"/>
          <w:sz w:val="20"/>
          <w:lang w:eastAsia="ko-KR"/>
        </w:rPr>
        <w:t xml:space="preserve"> System besteht aus </w:t>
      </w:r>
      <w:r w:rsidR="003C40CD">
        <w:rPr>
          <w:b w:val="0"/>
          <w:spacing w:val="0"/>
          <w:sz w:val="20"/>
          <w:lang w:eastAsia="ko-KR"/>
        </w:rPr>
        <w:t xml:space="preserve">Energienachfrage, </w:t>
      </w:r>
      <w:r w:rsidRPr="006E0CBD">
        <w:rPr>
          <w:b w:val="0"/>
          <w:spacing w:val="0"/>
          <w:sz w:val="20"/>
          <w:lang w:eastAsia="ko-KR"/>
        </w:rPr>
        <w:t>fluktuierender Erzeugung und den zu analysierenden Ausgleichsoptionen.</w:t>
      </w:r>
      <w:r w:rsidR="006C06FF">
        <w:rPr>
          <w:b w:val="0"/>
          <w:spacing w:val="0"/>
          <w:sz w:val="20"/>
          <w:lang w:eastAsia="ko-KR"/>
        </w:rPr>
        <w:t xml:space="preserve"> </w:t>
      </w:r>
      <w:r w:rsidRPr="006E0CBD">
        <w:rPr>
          <w:b w:val="0"/>
          <w:spacing w:val="0"/>
          <w:sz w:val="20"/>
          <w:lang w:eastAsia="ko-KR"/>
        </w:rPr>
        <w:t xml:space="preserve">Um datenbedingte Unterschiede </w:t>
      </w:r>
      <w:r w:rsidR="003C40CD">
        <w:rPr>
          <w:b w:val="0"/>
          <w:spacing w:val="0"/>
          <w:sz w:val="20"/>
          <w:lang w:eastAsia="ko-KR"/>
        </w:rPr>
        <w:t>auszuschließen</w:t>
      </w:r>
      <w:r w:rsidRPr="006E0CBD">
        <w:rPr>
          <w:b w:val="0"/>
          <w:spacing w:val="0"/>
          <w:sz w:val="20"/>
          <w:lang w:eastAsia="ko-KR"/>
        </w:rPr>
        <w:t>, basieren alle Modell</w:t>
      </w:r>
      <w:r w:rsidR="003C40CD">
        <w:rPr>
          <w:b w:val="0"/>
          <w:spacing w:val="0"/>
          <w:sz w:val="20"/>
          <w:lang w:eastAsia="ko-KR"/>
        </w:rPr>
        <w:t>läufe</w:t>
      </w:r>
      <w:r w:rsidRPr="006E0CBD">
        <w:rPr>
          <w:b w:val="0"/>
          <w:spacing w:val="0"/>
          <w:sz w:val="20"/>
          <w:lang w:eastAsia="ko-KR"/>
        </w:rPr>
        <w:t xml:space="preserve"> auf einem harmonisierten Eingangsdatensatz</w:t>
      </w:r>
      <w:r w:rsidR="007F0506">
        <w:rPr>
          <w:b w:val="0"/>
          <w:spacing w:val="0"/>
          <w:sz w:val="20"/>
          <w:lang w:eastAsia="ko-KR"/>
        </w:rPr>
        <w:t xml:space="preserve">, der </w:t>
      </w:r>
      <w:r w:rsidRPr="006E0CBD">
        <w:rPr>
          <w:b w:val="0"/>
          <w:spacing w:val="0"/>
          <w:sz w:val="20"/>
          <w:lang w:eastAsia="ko-KR"/>
        </w:rPr>
        <w:t>alle techno-ökonomischen Annahmen, installierte Kapazitäten und stündliche Zeitreihen</w:t>
      </w:r>
      <w:r w:rsidR="007F0506">
        <w:rPr>
          <w:b w:val="0"/>
          <w:spacing w:val="0"/>
          <w:sz w:val="20"/>
          <w:lang w:eastAsia="ko-KR"/>
        </w:rPr>
        <w:t xml:space="preserve"> umfasst</w:t>
      </w:r>
      <w:r w:rsidR="003C40CD">
        <w:rPr>
          <w:b w:val="0"/>
          <w:spacing w:val="0"/>
          <w:sz w:val="20"/>
          <w:lang w:eastAsia="ko-KR"/>
        </w:rPr>
        <w:t xml:space="preserve"> </w:t>
      </w:r>
      <w:r w:rsidR="007F0506">
        <w:rPr>
          <w:b w:val="0"/>
          <w:spacing w:val="0"/>
          <w:sz w:val="20"/>
          <w:lang w:eastAsia="ko-KR"/>
        </w:rPr>
        <w:t>und weitestgehend aus</w:t>
      </w:r>
      <w:r w:rsidRPr="006E0CBD">
        <w:rPr>
          <w:b w:val="0"/>
          <w:spacing w:val="0"/>
          <w:sz w:val="20"/>
          <w:lang w:eastAsia="ko-KR"/>
        </w:rPr>
        <w:t xml:space="preserve"> [</w:t>
      </w:r>
      <w:r w:rsidR="003C40CD">
        <w:rPr>
          <w:b w:val="0"/>
          <w:spacing w:val="0"/>
          <w:sz w:val="20"/>
          <w:lang w:eastAsia="ko-KR"/>
        </w:rPr>
        <w:t>2</w:t>
      </w:r>
      <w:r w:rsidRPr="006E0CBD">
        <w:rPr>
          <w:b w:val="0"/>
          <w:spacing w:val="0"/>
          <w:sz w:val="20"/>
          <w:lang w:eastAsia="ko-KR"/>
        </w:rPr>
        <w:t>] übernommen</w:t>
      </w:r>
      <w:r w:rsidR="003C40CD">
        <w:rPr>
          <w:b w:val="0"/>
          <w:spacing w:val="0"/>
          <w:sz w:val="20"/>
          <w:lang w:eastAsia="ko-KR"/>
        </w:rPr>
        <w:t xml:space="preserve"> werden</w:t>
      </w:r>
      <w:r w:rsidR="007F0506">
        <w:rPr>
          <w:b w:val="0"/>
          <w:spacing w:val="0"/>
          <w:sz w:val="20"/>
          <w:lang w:eastAsia="ko-KR"/>
        </w:rPr>
        <w:t xml:space="preserve"> konnte</w:t>
      </w:r>
      <w:r w:rsidRPr="006E0CBD">
        <w:rPr>
          <w:b w:val="0"/>
          <w:spacing w:val="0"/>
          <w:sz w:val="20"/>
          <w:lang w:eastAsia="ko-KR"/>
        </w:rPr>
        <w:t>. Um die Vergleichbarkeit der Ergebnisse zu erhöhen</w:t>
      </w:r>
      <w:r w:rsidR="00BB3512">
        <w:rPr>
          <w:b w:val="0"/>
          <w:spacing w:val="0"/>
          <w:sz w:val="20"/>
          <w:lang w:eastAsia="ko-KR"/>
        </w:rPr>
        <w:t xml:space="preserve">, handelt es sich bei den </w:t>
      </w:r>
      <w:r w:rsidR="00BB3512" w:rsidRPr="006E0CBD">
        <w:rPr>
          <w:b w:val="0"/>
          <w:spacing w:val="0"/>
          <w:sz w:val="20"/>
          <w:lang w:eastAsia="ko-KR"/>
        </w:rPr>
        <w:t>neun zu FlexMex beitragenden Modelle</w:t>
      </w:r>
      <w:r w:rsidR="00BB3512">
        <w:rPr>
          <w:b w:val="0"/>
          <w:spacing w:val="0"/>
          <w:sz w:val="20"/>
          <w:lang w:eastAsia="ko-KR"/>
        </w:rPr>
        <w:t xml:space="preserve">n </w:t>
      </w:r>
      <w:r w:rsidR="00AA3514">
        <w:rPr>
          <w:b w:val="0"/>
          <w:spacing w:val="0"/>
          <w:sz w:val="20"/>
          <w:lang w:eastAsia="ko-KR"/>
        </w:rPr>
        <w:t xml:space="preserve">um </w:t>
      </w:r>
      <w:r w:rsidR="00AA3514" w:rsidRPr="006E0CBD">
        <w:rPr>
          <w:b w:val="0"/>
          <w:spacing w:val="0"/>
          <w:sz w:val="20"/>
          <w:lang w:eastAsia="ko-KR"/>
        </w:rPr>
        <w:t>optimierende</w:t>
      </w:r>
      <w:r w:rsidRPr="006E0CBD">
        <w:rPr>
          <w:b w:val="0"/>
          <w:spacing w:val="0"/>
          <w:sz w:val="20"/>
          <w:lang w:eastAsia="ko-KR"/>
        </w:rPr>
        <w:t xml:space="preserve">, stündlich </w:t>
      </w:r>
      <w:r w:rsidRPr="006E0CBD">
        <w:rPr>
          <w:b w:val="0"/>
          <w:spacing w:val="0"/>
          <w:sz w:val="20"/>
          <w:lang w:eastAsia="ko-KR"/>
        </w:rPr>
        <w:lastRenderedPageBreak/>
        <w:t>aufgelöste Stromsystemmodelle mit Sektor</w:t>
      </w:r>
      <w:r w:rsidR="0096124A">
        <w:rPr>
          <w:b w:val="0"/>
          <w:spacing w:val="0"/>
          <w:sz w:val="20"/>
          <w:lang w:eastAsia="ko-KR"/>
        </w:rPr>
        <w:t>en</w:t>
      </w:r>
      <w:r w:rsidRPr="006E0CBD">
        <w:rPr>
          <w:b w:val="0"/>
          <w:spacing w:val="0"/>
          <w:sz w:val="20"/>
          <w:lang w:eastAsia="ko-KR"/>
        </w:rPr>
        <w:t xml:space="preserve">kopplung. Allerdings unterscheiden sich die Modelle erheblich in </w:t>
      </w:r>
      <w:r w:rsidR="00F31CAB">
        <w:rPr>
          <w:b w:val="0"/>
          <w:spacing w:val="0"/>
          <w:sz w:val="20"/>
          <w:lang w:eastAsia="ko-KR"/>
        </w:rPr>
        <w:t>Umfang und Detaillierungstiefe des abgebildeten Technologieportfolios</w:t>
      </w:r>
      <w:r w:rsidRPr="006E0CBD">
        <w:rPr>
          <w:b w:val="0"/>
          <w:spacing w:val="0"/>
          <w:sz w:val="20"/>
          <w:lang w:eastAsia="ko-KR"/>
        </w:rPr>
        <w:t xml:space="preserve">.  </w:t>
      </w:r>
    </w:p>
    <w:p w:rsidR="00AA3514" w:rsidRDefault="006E0CBD" w:rsidP="006E0CBD">
      <w:pPr>
        <w:pStyle w:val="Ueberschrift"/>
        <w:rPr>
          <w:b w:val="0"/>
          <w:spacing w:val="0"/>
          <w:sz w:val="20"/>
          <w:lang w:eastAsia="ko-KR"/>
        </w:rPr>
      </w:pPr>
      <w:r w:rsidRPr="006E0CBD">
        <w:rPr>
          <w:b w:val="0"/>
          <w:spacing w:val="0"/>
          <w:sz w:val="20"/>
          <w:lang w:eastAsia="ko-KR"/>
        </w:rPr>
        <w:t>Die Auswertung des Experiments basiert in erster Linie auf dem Betriebsverhalten der Lastausgleichsoptionen. Als Kennzahl wird die Jahresauslastung verwendet, es werden aber auch Vergleiche auf Stundenbasis durchgeführt. Neben der Nutzung von Lastausgleichsoptionen werden auch die Stromversorgungskosten und die jährlichen CO</w:t>
      </w:r>
      <w:r w:rsidRPr="00AA3514">
        <w:rPr>
          <w:b w:val="0"/>
          <w:spacing w:val="0"/>
          <w:sz w:val="20"/>
          <w:vertAlign w:val="subscript"/>
          <w:lang w:eastAsia="ko-KR"/>
        </w:rPr>
        <w:t>2</w:t>
      </w:r>
      <w:r w:rsidRPr="006E0CBD">
        <w:rPr>
          <w:b w:val="0"/>
          <w:spacing w:val="0"/>
          <w:sz w:val="20"/>
          <w:lang w:eastAsia="ko-KR"/>
        </w:rPr>
        <w:t xml:space="preserve">-Emissionen verglichen. </w:t>
      </w:r>
    </w:p>
    <w:p w:rsidR="006E0CBD" w:rsidRPr="006E0CBD" w:rsidRDefault="006E0CBD" w:rsidP="006E0CBD">
      <w:pPr>
        <w:pStyle w:val="Ueberschrift"/>
        <w:rPr>
          <w:b w:val="0"/>
          <w:spacing w:val="0"/>
          <w:sz w:val="20"/>
          <w:lang w:eastAsia="ko-KR"/>
        </w:rPr>
      </w:pPr>
      <w:r w:rsidRPr="006E0CBD">
        <w:rPr>
          <w:b w:val="0"/>
          <w:spacing w:val="0"/>
          <w:sz w:val="20"/>
          <w:lang w:eastAsia="ko-KR"/>
        </w:rPr>
        <w:t>Basierend auf der detaillierten Kenntnis der Modelleigenschaften und Datenanforderungen wurden standardisierte</w:t>
      </w:r>
      <w:r w:rsidR="00AA3514">
        <w:rPr>
          <w:b w:val="0"/>
          <w:spacing w:val="0"/>
          <w:sz w:val="20"/>
          <w:lang w:eastAsia="ko-KR"/>
        </w:rPr>
        <w:t>, maschinenlesbare</w:t>
      </w:r>
      <w:r w:rsidRPr="006E0CBD">
        <w:rPr>
          <w:b w:val="0"/>
          <w:spacing w:val="0"/>
          <w:sz w:val="20"/>
          <w:lang w:eastAsia="ko-KR"/>
        </w:rPr>
        <w:t xml:space="preserve"> Eingabe- und Ausgabedatenblätter entwickelt. </w:t>
      </w:r>
      <w:r w:rsidR="00AA3514">
        <w:rPr>
          <w:b w:val="0"/>
          <w:spacing w:val="0"/>
          <w:sz w:val="20"/>
          <w:lang w:eastAsia="ko-KR"/>
        </w:rPr>
        <w:t xml:space="preserve">Anschließend ermöglicht eine </w:t>
      </w:r>
      <w:r w:rsidR="00693372">
        <w:rPr>
          <w:b w:val="0"/>
          <w:spacing w:val="0"/>
          <w:sz w:val="20"/>
          <w:lang w:eastAsia="ko-KR"/>
        </w:rPr>
        <w:t>Python-basierte</w:t>
      </w:r>
      <w:r w:rsidR="00AA3514">
        <w:rPr>
          <w:b w:val="0"/>
          <w:spacing w:val="0"/>
          <w:sz w:val="20"/>
          <w:lang w:eastAsia="ko-KR"/>
        </w:rPr>
        <w:t xml:space="preserve"> Auswerteroutine das automatisierte Einlesen der </w:t>
      </w:r>
      <w:r w:rsidR="00693372">
        <w:rPr>
          <w:b w:val="0"/>
          <w:spacing w:val="0"/>
          <w:sz w:val="20"/>
          <w:lang w:eastAsia="ko-KR"/>
        </w:rPr>
        <w:t>Optimierungsergebnisse und die Erstellung von Indikatorgraphiken.</w:t>
      </w:r>
    </w:p>
    <w:p w:rsidR="006E0CBD" w:rsidRDefault="006E0CBD" w:rsidP="006E0CBD">
      <w:pPr>
        <w:pStyle w:val="Ueberschrift"/>
      </w:pPr>
    </w:p>
    <w:p w:rsidR="005E4D4F" w:rsidRPr="005E4D4F" w:rsidRDefault="005E4D4F" w:rsidP="005E4D4F">
      <w:pPr>
        <w:pStyle w:val="Ueberschrift"/>
      </w:pPr>
      <w:r w:rsidRPr="005E4D4F">
        <w:t>Ergebnisse und Schlussfolgerungen</w:t>
      </w:r>
    </w:p>
    <w:p w:rsidR="00B92DD4" w:rsidRDefault="006E0CBD" w:rsidP="006E0CBD">
      <w:pPr>
        <w:pStyle w:val="Ueberschrift"/>
        <w:rPr>
          <w:b w:val="0"/>
          <w:spacing w:val="0"/>
          <w:sz w:val="20"/>
          <w:lang w:eastAsia="ko-KR"/>
        </w:rPr>
      </w:pPr>
      <w:r w:rsidRPr="006E0CBD">
        <w:rPr>
          <w:b w:val="0"/>
          <w:spacing w:val="0"/>
          <w:sz w:val="20"/>
          <w:lang w:eastAsia="ko-KR"/>
        </w:rPr>
        <w:t xml:space="preserve">Über die technologiespezifischen </w:t>
      </w:r>
      <w:r w:rsidR="00693372">
        <w:rPr>
          <w:b w:val="0"/>
          <w:spacing w:val="0"/>
          <w:sz w:val="20"/>
          <w:lang w:eastAsia="ko-KR"/>
        </w:rPr>
        <w:t>Untersuchungsfälle</w:t>
      </w:r>
      <w:r w:rsidRPr="006E0CBD">
        <w:rPr>
          <w:b w:val="0"/>
          <w:spacing w:val="0"/>
          <w:sz w:val="20"/>
          <w:lang w:eastAsia="ko-KR"/>
        </w:rPr>
        <w:t xml:space="preserve"> hinweg zeigt sich eine große Bandbreite unterschiedlicher Trends. Während es bei einigen Technologien nur geringe Unterschiede zwischen den Modellergebnissen gibt, die jeweils durch spezifische Modelleigenschaften verursacht werden, zeigen andere Technologien </w:t>
      </w:r>
      <w:r w:rsidR="00F31CAB">
        <w:rPr>
          <w:b w:val="0"/>
          <w:spacing w:val="0"/>
          <w:sz w:val="20"/>
          <w:lang w:eastAsia="ko-KR"/>
        </w:rPr>
        <w:t>größere</w:t>
      </w:r>
      <w:r w:rsidRPr="006E0CBD">
        <w:rPr>
          <w:b w:val="0"/>
          <w:spacing w:val="0"/>
          <w:sz w:val="20"/>
          <w:lang w:eastAsia="ko-KR"/>
        </w:rPr>
        <w:t xml:space="preserve"> Abweichungen</w:t>
      </w:r>
      <w:r w:rsidR="00693372">
        <w:rPr>
          <w:b w:val="0"/>
          <w:spacing w:val="0"/>
          <w:sz w:val="20"/>
          <w:lang w:eastAsia="ko-KR"/>
        </w:rPr>
        <w:t>, die sich in den meisten Fällen auf unterschiedliche Modellformulierung</w:t>
      </w:r>
      <w:r w:rsidR="00F31CAB">
        <w:rPr>
          <w:b w:val="0"/>
          <w:spacing w:val="0"/>
          <w:sz w:val="20"/>
          <w:lang w:eastAsia="ko-KR"/>
        </w:rPr>
        <w:t>en</w:t>
      </w:r>
      <w:r w:rsidR="00693372">
        <w:rPr>
          <w:b w:val="0"/>
          <w:spacing w:val="0"/>
          <w:sz w:val="20"/>
          <w:lang w:eastAsia="ko-KR"/>
        </w:rPr>
        <w:t xml:space="preserve"> zurückführen lassen</w:t>
      </w:r>
      <w:r w:rsidR="00A7636C">
        <w:rPr>
          <w:b w:val="0"/>
          <w:spacing w:val="0"/>
          <w:sz w:val="20"/>
          <w:lang w:eastAsia="ko-KR"/>
        </w:rPr>
        <w:t xml:space="preserve"> (Abbildung 1)</w:t>
      </w:r>
      <w:r w:rsidRPr="006E0CBD">
        <w:rPr>
          <w:b w:val="0"/>
          <w:spacing w:val="0"/>
          <w:sz w:val="20"/>
          <w:lang w:eastAsia="ko-KR"/>
        </w:rPr>
        <w:t xml:space="preserve">. </w:t>
      </w:r>
    </w:p>
    <w:p w:rsidR="00B92DD4" w:rsidRDefault="00B92DD4" w:rsidP="00895838">
      <w:pPr>
        <w:pStyle w:val="Ueberschrift"/>
        <w:jc w:val="center"/>
        <w:rPr>
          <w:b w:val="0"/>
          <w:spacing w:val="0"/>
          <w:sz w:val="20"/>
          <w:lang w:eastAsia="ko-KR"/>
        </w:rPr>
      </w:pPr>
      <w:r w:rsidRPr="00B92DD4">
        <w:rPr>
          <w:noProof/>
        </w:rPr>
        <w:drawing>
          <wp:inline distT="0" distB="0" distL="0" distR="0" wp14:anchorId="2F242589" wp14:editId="18C0BAA2">
            <wp:extent cx="3550920" cy="2987883"/>
            <wp:effectExtent l="0" t="0" r="0" b="3175"/>
            <wp:docPr id="8" name="Grafik 7">
              <a:extLst xmlns:a="http://schemas.openxmlformats.org/drawingml/2006/main">
                <a:ext uri="{FF2B5EF4-FFF2-40B4-BE49-F238E27FC236}">
                  <a16:creationId xmlns:a16="http://schemas.microsoft.com/office/drawing/2014/main" id="{F7C09FD7-A797-4C6A-9FBB-2C7C61C62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F7C09FD7-A797-4C6A-9FBB-2C7C61C627F9}"/>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11762"/>
                    <a:stretch/>
                  </pic:blipFill>
                  <pic:spPr>
                    <a:xfrm>
                      <a:off x="0" y="0"/>
                      <a:ext cx="3553042" cy="2989668"/>
                    </a:xfrm>
                    <a:prstGeom prst="rect">
                      <a:avLst/>
                    </a:prstGeom>
                  </pic:spPr>
                </pic:pic>
              </a:graphicData>
            </a:graphic>
          </wp:inline>
        </w:drawing>
      </w:r>
    </w:p>
    <w:p w:rsidR="00895838" w:rsidRPr="00B92DD4" w:rsidRDefault="00895838" w:rsidP="00895838">
      <w:pPr>
        <w:pStyle w:val="Ueberschrift"/>
        <w:rPr>
          <w:b w:val="0"/>
          <w:sz w:val="16"/>
          <w:szCs w:val="16"/>
        </w:rPr>
      </w:pPr>
      <w:r w:rsidRPr="00B92DD4">
        <w:rPr>
          <w:bCs/>
          <w:sz w:val="16"/>
          <w:szCs w:val="16"/>
        </w:rPr>
        <w:t>Abb. 1:</w:t>
      </w:r>
      <w:r w:rsidRPr="00B92DD4">
        <w:rPr>
          <w:b w:val="0"/>
          <w:bCs/>
          <w:sz w:val="16"/>
          <w:szCs w:val="16"/>
        </w:rPr>
        <w:t xml:space="preserve"> </w:t>
      </w:r>
      <w:r w:rsidRPr="00B92DD4">
        <w:rPr>
          <w:b w:val="0"/>
          <w:sz w:val="16"/>
          <w:szCs w:val="16"/>
        </w:rPr>
        <w:t xml:space="preserve">Übersicht über die Flexibilitätsnutzung in </w:t>
      </w:r>
      <w:r w:rsidR="0096124A">
        <w:rPr>
          <w:b w:val="0"/>
          <w:sz w:val="16"/>
          <w:szCs w:val="16"/>
        </w:rPr>
        <w:t xml:space="preserve">ausgewählten </w:t>
      </w:r>
      <w:r w:rsidRPr="00B92DD4">
        <w:rPr>
          <w:b w:val="0"/>
          <w:sz w:val="16"/>
          <w:szCs w:val="16"/>
        </w:rPr>
        <w:t xml:space="preserve">Untersuchungsfällen. Die farbigen Punkte zeigen die einzelnen Modellergebnisse, normiert auf den Maximalwert (linke Achse). Die Linien geben den Bereich der absoluten Werte an (rechte Achse). </w:t>
      </w:r>
    </w:p>
    <w:p w:rsidR="006E0CBD" w:rsidRPr="006E0CBD" w:rsidRDefault="00895838" w:rsidP="00B92DD4">
      <w:pPr>
        <w:pStyle w:val="Ueberschrift"/>
        <w:rPr>
          <w:b w:val="0"/>
          <w:spacing w:val="0"/>
          <w:sz w:val="20"/>
          <w:lang w:eastAsia="ko-KR"/>
        </w:rPr>
      </w:pPr>
      <w:r>
        <w:rPr>
          <w:b w:val="0"/>
          <w:spacing w:val="0"/>
          <w:sz w:val="20"/>
          <w:lang w:eastAsia="ko-KR"/>
        </w:rPr>
        <w:t xml:space="preserve">Die Ergebnisunterschiede sind meist gut zu den Modellunterschieden zuordbar, allerdings konnten trotz </w:t>
      </w:r>
      <w:r w:rsidR="00F31CAB">
        <w:rPr>
          <w:b w:val="0"/>
          <w:spacing w:val="0"/>
          <w:sz w:val="20"/>
          <w:lang w:eastAsia="ko-KR"/>
        </w:rPr>
        <w:t>stark</w:t>
      </w:r>
      <w:r>
        <w:rPr>
          <w:b w:val="0"/>
          <w:spacing w:val="0"/>
          <w:sz w:val="20"/>
          <w:lang w:eastAsia="ko-KR"/>
        </w:rPr>
        <w:t xml:space="preserve"> reduzierter Untersuchungsfälle Überlagerungseffekte nicht vollständig ausgeschlossen werden. S</w:t>
      </w:r>
      <w:r w:rsidRPr="006E0CBD">
        <w:rPr>
          <w:b w:val="0"/>
          <w:spacing w:val="0"/>
          <w:sz w:val="20"/>
          <w:lang w:eastAsia="ko-KR"/>
        </w:rPr>
        <w:t xml:space="preserve">ignifikante </w:t>
      </w:r>
      <w:r>
        <w:rPr>
          <w:b w:val="0"/>
          <w:spacing w:val="0"/>
          <w:sz w:val="20"/>
          <w:lang w:eastAsia="ko-KR"/>
        </w:rPr>
        <w:t xml:space="preserve">Modellunterschiede zeigen sich </w:t>
      </w:r>
      <w:r w:rsidRPr="006E0CBD">
        <w:rPr>
          <w:b w:val="0"/>
          <w:spacing w:val="0"/>
          <w:sz w:val="20"/>
          <w:lang w:eastAsia="ko-KR"/>
        </w:rPr>
        <w:t>insbesondere</w:t>
      </w:r>
      <w:r w:rsidR="006E0CBD" w:rsidRPr="006E0CBD">
        <w:rPr>
          <w:b w:val="0"/>
          <w:spacing w:val="0"/>
          <w:sz w:val="20"/>
          <w:lang w:eastAsia="ko-KR"/>
        </w:rPr>
        <w:t xml:space="preserve"> in</w:t>
      </w:r>
      <w:r>
        <w:rPr>
          <w:b w:val="0"/>
          <w:spacing w:val="0"/>
          <w:sz w:val="20"/>
          <w:lang w:eastAsia="ko-KR"/>
        </w:rPr>
        <w:t xml:space="preserve"> </w:t>
      </w:r>
      <w:r w:rsidR="00F31CAB">
        <w:rPr>
          <w:b w:val="0"/>
          <w:spacing w:val="0"/>
          <w:sz w:val="20"/>
          <w:lang w:eastAsia="ko-KR"/>
        </w:rPr>
        <w:t xml:space="preserve">der </w:t>
      </w:r>
      <w:r>
        <w:rPr>
          <w:b w:val="0"/>
          <w:spacing w:val="0"/>
          <w:sz w:val="20"/>
          <w:lang w:eastAsia="ko-KR"/>
        </w:rPr>
        <w:t>Abbildung von</w:t>
      </w:r>
      <w:r w:rsidR="006E0CBD" w:rsidRPr="006E0CBD">
        <w:rPr>
          <w:b w:val="0"/>
          <w:spacing w:val="0"/>
          <w:sz w:val="20"/>
          <w:lang w:eastAsia="ko-KR"/>
        </w:rPr>
        <w:t xml:space="preserve"> </w:t>
      </w:r>
      <w:r w:rsidRPr="00895838">
        <w:rPr>
          <w:b w:val="0"/>
          <w:spacing w:val="0"/>
          <w:sz w:val="20"/>
          <w:lang w:eastAsia="ko-KR"/>
        </w:rPr>
        <w:t>regelbaren Kraftwerken, Batteriefahrzeugen und Lastmanagement</w:t>
      </w:r>
      <w:r>
        <w:rPr>
          <w:b w:val="0"/>
          <w:spacing w:val="0"/>
          <w:sz w:val="20"/>
          <w:lang w:eastAsia="ko-KR"/>
        </w:rPr>
        <w:t>.</w:t>
      </w:r>
      <w:r w:rsidRPr="00895838">
        <w:rPr>
          <w:b w:val="0"/>
          <w:spacing w:val="0"/>
          <w:sz w:val="20"/>
          <w:lang w:eastAsia="ko-KR"/>
        </w:rPr>
        <w:t xml:space="preserve"> </w:t>
      </w:r>
      <w:r w:rsidRPr="006E0CBD">
        <w:rPr>
          <w:b w:val="0"/>
          <w:spacing w:val="0"/>
          <w:sz w:val="20"/>
          <w:lang w:eastAsia="ko-KR"/>
        </w:rPr>
        <w:t>Das Modellexperiment zeigt</w:t>
      </w:r>
      <w:r>
        <w:rPr>
          <w:b w:val="0"/>
          <w:spacing w:val="0"/>
          <w:sz w:val="20"/>
          <w:lang w:eastAsia="ko-KR"/>
        </w:rPr>
        <w:t xml:space="preserve"> außerdem</w:t>
      </w:r>
      <w:r w:rsidRPr="006E0CBD">
        <w:rPr>
          <w:b w:val="0"/>
          <w:spacing w:val="0"/>
          <w:sz w:val="20"/>
          <w:lang w:eastAsia="ko-KR"/>
        </w:rPr>
        <w:t>, dass sich die Ergebnisse von Modellen mit grundlegend unterschiedlichem Ansatz (</w:t>
      </w:r>
      <w:r w:rsidR="0096124A">
        <w:rPr>
          <w:b w:val="0"/>
          <w:spacing w:val="0"/>
          <w:sz w:val="20"/>
          <w:lang w:eastAsia="ko-KR"/>
        </w:rPr>
        <w:t>quadratische Programmierung</w:t>
      </w:r>
      <w:r w:rsidRPr="006E0CBD">
        <w:rPr>
          <w:b w:val="0"/>
          <w:spacing w:val="0"/>
          <w:sz w:val="20"/>
          <w:lang w:eastAsia="ko-KR"/>
        </w:rPr>
        <w:t>, rollierender Horizont) nicht systematisch signifikant unterscheiden.</w:t>
      </w:r>
      <w:r w:rsidRPr="00895838">
        <w:t xml:space="preserve"> </w:t>
      </w:r>
      <w:r w:rsidRPr="00895838">
        <w:rPr>
          <w:b w:val="0"/>
          <w:spacing w:val="0"/>
          <w:sz w:val="20"/>
          <w:lang w:eastAsia="ko-KR"/>
        </w:rPr>
        <w:t xml:space="preserve">Dies deutet darauf hin, dass die gewählte Methode der vereinfachten Fälle nicht </w:t>
      </w:r>
      <w:r>
        <w:rPr>
          <w:b w:val="0"/>
          <w:spacing w:val="0"/>
          <w:sz w:val="20"/>
          <w:lang w:eastAsia="ko-KR"/>
        </w:rPr>
        <w:t>gänzlich</w:t>
      </w:r>
      <w:r w:rsidRPr="00895838">
        <w:rPr>
          <w:b w:val="0"/>
          <w:spacing w:val="0"/>
          <w:sz w:val="20"/>
          <w:lang w:eastAsia="ko-KR"/>
        </w:rPr>
        <w:t xml:space="preserve"> für ihre Bewertung geeignet ist. </w:t>
      </w:r>
      <w:r w:rsidRPr="006E0CBD">
        <w:rPr>
          <w:b w:val="0"/>
          <w:spacing w:val="0"/>
          <w:sz w:val="20"/>
          <w:lang w:eastAsia="ko-KR"/>
        </w:rPr>
        <w:t xml:space="preserve"> </w:t>
      </w:r>
    </w:p>
    <w:p w:rsidR="006E0CBD" w:rsidRDefault="006E0CBD" w:rsidP="006E0CBD">
      <w:pPr>
        <w:pStyle w:val="Ueberschrift"/>
        <w:rPr>
          <w:b w:val="0"/>
          <w:spacing w:val="0"/>
          <w:sz w:val="20"/>
          <w:lang w:eastAsia="ko-KR"/>
        </w:rPr>
      </w:pPr>
      <w:r w:rsidRPr="006E0CBD">
        <w:rPr>
          <w:b w:val="0"/>
          <w:spacing w:val="0"/>
          <w:sz w:val="20"/>
          <w:lang w:eastAsia="ko-KR"/>
        </w:rPr>
        <w:t xml:space="preserve">Im Hinblick auf Best Practices für Modellexperimente </w:t>
      </w:r>
      <w:r w:rsidR="00895838">
        <w:rPr>
          <w:b w:val="0"/>
          <w:spacing w:val="0"/>
          <w:sz w:val="20"/>
          <w:lang w:eastAsia="ko-KR"/>
        </w:rPr>
        <w:t>konnte abgeleitet werden</w:t>
      </w:r>
      <w:r w:rsidRPr="006E0CBD">
        <w:rPr>
          <w:b w:val="0"/>
          <w:spacing w:val="0"/>
          <w:sz w:val="20"/>
          <w:lang w:eastAsia="ko-KR"/>
        </w:rPr>
        <w:t xml:space="preserve">, dass die vorgelagerte Erfassung von Modellunterschieden die Analyse erleichtert, aber nicht ersetzt. </w:t>
      </w:r>
      <w:r w:rsidR="00A23C02">
        <w:rPr>
          <w:b w:val="0"/>
          <w:spacing w:val="0"/>
          <w:sz w:val="20"/>
          <w:lang w:eastAsia="ko-KR"/>
        </w:rPr>
        <w:t>Auch war eine Vermeidung von</w:t>
      </w:r>
      <w:r w:rsidRPr="006E0CBD">
        <w:rPr>
          <w:b w:val="0"/>
          <w:spacing w:val="0"/>
          <w:sz w:val="20"/>
          <w:lang w:eastAsia="ko-KR"/>
        </w:rPr>
        <w:t xml:space="preserve"> Fehlinterpretationen von Eingabe- und Ergebnisdaten trotz </w:t>
      </w:r>
      <w:r w:rsidR="00A23C02">
        <w:rPr>
          <w:b w:val="0"/>
          <w:spacing w:val="0"/>
          <w:sz w:val="20"/>
          <w:lang w:eastAsia="ko-KR"/>
        </w:rPr>
        <w:t xml:space="preserve">intensivem </w:t>
      </w:r>
      <w:r w:rsidRPr="006E0CBD">
        <w:rPr>
          <w:b w:val="0"/>
          <w:spacing w:val="0"/>
          <w:sz w:val="20"/>
          <w:lang w:eastAsia="ko-KR"/>
        </w:rPr>
        <w:t xml:space="preserve">Austausch nicht </w:t>
      </w:r>
      <w:r w:rsidR="00A23C02">
        <w:rPr>
          <w:b w:val="0"/>
          <w:spacing w:val="0"/>
          <w:sz w:val="20"/>
          <w:lang w:eastAsia="ko-KR"/>
        </w:rPr>
        <w:t>vollständig möglich</w:t>
      </w:r>
      <w:r w:rsidRPr="006E0CBD">
        <w:rPr>
          <w:b w:val="0"/>
          <w:spacing w:val="0"/>
          <w:sz w:val="20"/>
          <w:lang w:eastAsia="ko-KR"/>
        </w:rPr>
        <w:t xml:space="preserve">. Daraus folgt, dass eine häufige Wiederholung von Modellläufen notwendig ist, was durch kurze Rechenzeiten und Automatisierung bei der Übertragung und Analyse von </w:t>
      </w:r>
      <w:r w:rsidR="00A23C02">
        <w:rPr>
          <w:b w:val="0"/>
          <w:spacing w:val="0"/>
          <w:sz w:val="20"/>
          <w:lang w:eastAsia="ko-KR"/>
        </w:rPr>
        <w:t>Daten</w:t>
      </w:r>
      <w:r w:rsidRPr="006E0CBD">
        <w:rPr>
          <w:b w:val="0"/>
          <w:spacing w:val="0"/>
          <w:sz w:val="20"/>
          <w:lang w:eastAsia="ko-KR"/>
        </w:rPr>
        <w:t xml:space="preserve"> erleichtert wird. Abschließend wurde gezeigt, dass harmonisierte Eingangsdaten und reduzierte Anwendungsfälle die gezielte Analyse von Modellunterschieden ermöglichen.</w:t>
      </w:r>
    </w:p>
    <w:p w:rsidR="003C3A6A" w:rsidRDefault="003C3A6A" w:rsidP="00A156E4">
      <w:pPr>
        <w:pStyle w:val="Ueberschrift"/>
        <w:rPr>
          <w:lang w:val="en-US"/>
        </w:rPr>
      </w:pPr>
      <w:bookmarkStart w:id="0" w:name="_Toc26086066"/>
      <w:bookmarkStart w:id="1" w:name="_Toc68418491"/>
    </w:p>
    <w:p w:rsidR="003C3A6A" w:rsidRDefault="003C3A6A" w:rsidP="00A156E4">
      <w:pPr>
        <w:pStyle w:val="Ueberschrift"/>
        <w:rPr>
          <w:lang w:val="en-US"/>
        </w:rPr>
      </w:pPr>
    </w:p>
    <w:p w:rsidR="005E4D4F" w:rsidRPr="00757354" w:rsidRDefault="005E4D4F" w:rsidP="00A156E4">
      <w:pPr>
        <w:pStyle w:val="Ueberschrift"/>
        <w:rPr>
          <w:lang w:val="en-US"/>
        </w:rPr>
      </w:pPr>
      <w:bookmarkStart w:id="2" w:name="_GoBack"/>
      <w:bookmarkEnd w:id="2"/>
      <w:proofErr w:type="spellStart"/>
      <w:r w:rsidRPr="00757354">
        <w:rPr>
          <w:lang w:val="en-US"/>
        </w:rPr>
        <w:lastRenderedPageBreak/>
        <w:t>Literatur</w:t>
      </w:r>
      <w:bookmarkEnd w:id="0"/>
      <w:bookmarkEnd w:id="1"/>
      <w:proofErr w:type="spellEnd"/>
    </w:p>
    <w:p w:rsidR="001A00A1" w:rsidRDefault="001A00A1" w:rsidP="001A00A1">
      <w:pPr>
        <w:pStyle w:val="Literatur"/>
        <w:rPr>
          <w:lang w:val="en-US"/>
        </w:rPr>
      </w:pPr>
      <w:r w:rsidRPr="00C84C5B">
        <w:rPr>
          <w:lang w:val="en-US"/>
        </w:rPr>
        <w:t>[1]</w:t>
      </w:r>
      <w:r w:rsidRPr="00C84C5B">
        <w:rPr>
          <w:lang w:val="en-US"/>
        </w:rPr>
        <w:tab/>
      </w:r>
      <w:r w:rsidR="00C84C5B" w:rsidRPr="00C84C5B">
        <w:rPr>
          <w:lang w:val="en-US"/>
        </w:rPr>
        <w:t xml:space="preserve">H.-K. </w:t>
      </w:r>
      <w:proofErr w:type="spellStart"/>
      <w:r w:rsidR="00C84C5B" w:rsidRPr="00C84C5B">
        <w:rPr>
          <w:lang w:val="en-US"/>
        </w:rPr>
        <w:t>Ringkjøb</w:t>
      </w:r>
      <w:proofErr w:type="spellEnd"/>
      <w:r w:rsidR="00C84C5B" w:rsidRPr="00C84C5B">
        <w:rPr>
          <w:lang w:val="en-US"/>
        </w:rPr>
        <w:t xml:space="preserve">, P.M. Haugen und I.M. </w:t>
      </w:r>
      <w:proofErr w:type="spellStart"/>
      <w:r w:rsidR="00C84C5B" w:rsidRPr="00C84C5B">
        <w:rPr>
          <w:lang w:val="en-US"/>
        </w:rPr>
        <w:t>Solbrekke</w:t>
      </w:r>
      <w:proofErr w:type="spellEnd"/>
      <w:r w:rsidRPr="00C84C5B">
        <w:rPr>
          <w:lang w:val="en-US"/>
        </w:rPr>
        <w:t xml:space="preserve">: </w:t>
      </w:r>
      <w:r w:rsidR="00C84C5B" w:rsidRPr="00C84C5B">
        <w:rPr>
          <w:lang w:val="en-US"/>
        </w:rPr>
        <w:t>A review of</w:t>
      </w:r>
      <w:r w:rsidR="00C84C5B">
        <w:rPr>
          <w:lang w:val="en-US"/>
        </w:rPr>
        <w:t xml:space="preserve"> modelling tools for energy and electricity systems with large shares of variable renewables</w:t>
      </w:r>
      <w:r w:rsidRPr="00C84C5B">
        <w:rPr>
          <w:lang w:val="en-US"/>
        </w:rPr>
        <w:t xml:space="preserve">, </w:t>
      </w:r>
      <w:r w:rsidR="006E0CBD">
        <w:rPr>
          <w:lang w:val="en-US"/>
        </w:rPr>
        <w:t>Renewable and Sustainable Energy Reviews 96</w:t>
      </w:r>
      <w:r w:rsidRPr="00C84C5B">
        <w:rPr>
          <w:lang w:val="en-US"/>
        </w:rPr>
        <w:t xml:space="preserve">, </w:t>
      </w:r>
      <w:r w:rsidR="006E0CBD">
        <w:rPr>
          <w:lang w:val="en-US"/>
        </w:rPr>
        <w:t>2018</w:t>
      </w:r>
    </w:p>
    <w:p w:rsidR="00774C01" w:rsidRPr="00774C01" w:rsidRDefault="00774C01" w:rsidP="00774C01">
      <w:pPr>
        <w:pStyle w:val="Literatur"/>
        <w:rPr>
          <w:lang w:val="en-US"/>
        </w:rPr>
      </w:pPr>
      <w:r w:rsidRPr="003C40CD">
        <w:rPr>
          <w:lang w:val="en-US"/>
        </w:rPr>
        <w:t xml:space="preserve">[2] </w:t>
      </w:r>
      <w:r w:rsidR="003C40CD" w:rsidRPr="003C40CD">
        <w:rPr>
          <w:lang w:val="en-US"/>
        </w:rPr>
        <w:t>H. C. Gils</w:t>
      </w:r>
      <w:r w:rsidRPr="003C40CD">
        <w:rPr>
          <w:lang w:val="en-US"/>
        </w:rPr>
        <w:t xml:space="preserve">, T. </w:t>
      </w:r>
      <w:r w:rsidR="003C40CD" w:rsidRPr="003C40CD">
        <w:rPr>
          <w:lang w:val="en-US"/>
        </w:rPr>
        <w:t xml:space="preserve">Pregger, F. </w:t>
      </w:r>
      <w:proofErr w:type="spellStart"/>
      <w:r w:rsidR="003C40CD" w:rsidRPr="003C40CD">
        <w:rPr>
          <w:lang w:val="en-US"/>
        </w:rPr>
        <w:t>Flachsbarth</w:t>
      </w:r>
      <w:proofErr w:type="spellEnd"/>
      <w:r w:rsidR="003C40CD" w:rsidRPr="003C40CD">
        <w:rPr>
          <w:lang w:val="en-US"/>
        </w:rPr>
        <w:t>, M. Jentsch</w:t>
      </w:r>
      <w:r w:rsidRPr="003C40CD">
        <w:rPr>
          <w:lang w:val="en-US"/>
        </w:rPr>
        <w:t xml:space="preserve"> </w:t>
      </w:r>
      <w:r w:rsidRPr="00774C01">
        <w:rPr>
          <w:lang w:val="en-US"/>
        </w:rPr>
        <w:t xml:space="preserve">und </w:t>
      </w:r>
      <w:r w:rsidR="003C40CD">
        <w:rPr>
          <w:lang w:val="en-US"/>
        </w:rPr>
        <w:t xml:space="preserve">C. </w:t>
      </w:r>
      <w:proofErr w:type="spellStart"/>
      <w:r w:rsidR="003C40CD">
        <w:rPr>
          <w:lang w:val="en-US"/>
        </w:rPr>
        <w:t>Dierstein</w:t>
      </w:r>
      <w:proofErr w:type="spellEnd"/>
      <w:r w:rsidRPr="00774C01">
        <w:rPr>
          <w:lang w:val="en-US"/>
        </w:rPr>
        <w:t xml:space="preserve">: </w:t>
      </w:r>
      <w:r w:rsidR="003C40CD" w:rsidRPr="003C40CD">
        <w:rPr>
          <w:lang w:val="en-US"/>
        </w:rPr>
        <w:t>Comparison of spatially and temporally resolved energy system models with a focus on Germany's future power supply</w:t>
      </w:r>
      <w:r>
        <w:rPr>
          <w:lang w:val="en-US"/>
        </w:rPr>
        <w:t xml:space="preserve">, </w:t>
      </w:r>
      <w:r w:rsidR="003C40CD">
        <w:rPr>
          <w:lang w:val="en-US"/>
        </w:rPr>
        <w:t>Applied Energy 225</w:t>
      </w:r>
      <w:r>
        <w:rPr>
          <w:lang w:val="en-US"/>
        </w:rPr>
        <w:t>, 201</w:t>
      </w:r>
      <w:r w:rsidR="003C40CD">
        <w:rPr>
          <w:lang w:val="en-US"/>
        </w:rPr>
        <w:t>9</w:t>
      </w:r>
    </w:p>
    <w:p w:rsidR="00774C01" w:rsidRPr="00774C01" w:rsidRDefault="00774C01" w:rsidP="001A00A1">
      <w:pPr>
        <w:pStyle w:val="Literatur"/>
        <w:rPr>
          <w:lang w:val="en-US"/>
        </w:rPr>
      </w:pPr>
    </w:p>
    <w:p w:rsidR="009A3ECE" w:rsidRPr="00774C01" w:rsidRDefault="009A3ECE" w:rsidP="005039F3">
      <w:pPr>
        <w:pStyle w:val="Literatur"/>
        <w:rPr>
          <w:lang w:val="en-US"/>
        </w:rPr>
      </w:pPr>
    </w:p>
    <w:sectPr w:rsidR="009A3ECE" w:rsidRPr="00774C0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525" w:rsidRDefault="00662525">
      <w:r>
        <w:separator/>
      </w:r>
    </w:p>
  </w:endnote>
  <w:endnote w:type="continuationSeparator" w:id="0">
    <w:p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525" w:rsidRDefault="00662525">
      <w:r>
        <w:separator/>
      </w:r>
    </w:p>
  </w:footnote>
  <w:footnote w:type="continuationSeparator" w:id="0">
    <w:p w:rsidR="00662525" w:rsidRDefault="00662525">
      <w:r>
        <w:continuationSeparator/>
      </w:r>
    </w:p>
  </w:footnote>
  <w:footnote w:id="1">
    <w:p w:rsidR="003C3A6A" w:rsidRPr="002310A1" w:rsidRDefault="003C3A6A" w:rsidP="003C3A6A">
      <w:r w:rsidRPr="00A115D2">
        <w:rPr>
          <w:rStyle w:val="Funotenzeichen"/>
        </w:rPr>
        <w:footnoteRef/>
      </w:r>
      <w:r w:rsidRPr="002310A1">
        <w:t xml:space="preserve"> </w:t>
      </w:r>
      <w:proofErr w:type="spellStart"/>
      <w:r w:rsidRPr="002310A1">
        <w:t>Curiestraße</w:t>
      </w:r>
      <w:proofErr w:type="spellEnd"/>
      <w:r w:rsidRPr="002310A1">
        <w:t xml:space="preserve"> </w:t>
      </w:r>
      <w:r>
        <w:t>4</w:t>
      </w:r>
      <w:r w:rsidRPr="002310A1">
        <w:t>, 70</w:t>
      </w:r>
      <w:r>
        <w:t>563</w:t>
      </w:r>
      <w:r w:rsidRPr="002310A1">
        <w:t xml:space="preserve"> Stuttgart, +49 </w:t>
      </w:r>
      <w:r>
        <w:t>711 6862-8819</w:t>
      </w:r>
      <w:r w:rsidRPr="002310A1">
        <w:t xml:space="preserve">, </w:t>
      </w:r>
      <w:r>
        <w:t>hedda.gardian</w:t>
      </w:r>
      <w:r w:rsidRPr="002310A1">
        <w:t>@</w:t>
      </w:r>
      <w:r>
        <w:t>dlr</w:t>
      </w:r>
      <w:r w:rsidRPr="002310A1">
        <w:t xml:space="preserve">.de, </w:t>
      </w:r>
      <w:hyperlink r:id="rId1" w:history="1">
        <w:r w:rsidRPr="00785AEE">
          <w:rPr>
            <w:rStyle w:val="Hyperlink"/>
          </w:rPr>
          <w:t>www.dlr.de/ve</w:t>
        </w:r>
      </w:hyperlink>
      <w:r w:rsidRPr="002310A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47045FE"/>
    <w:multiLevelType w:val="hybridMultilevel"/>
    <w:tmpl w:val="543A9B36"/>
    <w:lvl w:ilvl="0" w:tplc="C1BCFF1A">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53381"/>
    <w:multiLevelType w:val="hybridMultilevel"/>
    <w:tmpl w:val="A35CA3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D75967"/>
    <w:multiLevelType w:val="multilevel"/>
    <w:tmpl w:val="0978BA90"/>
    <w:numStyleLink w:val="Aufzhlung"/>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D6723"/>
    <w:rsid w:val="00114679"/>
    <w:rsid w:val="00121AF3"/>
    <w:rsid w:val="00180DE0"/>
    <w:rsid w:val="00183C61"/>
    <w:rsid w:val="00196601"/>
    <w:rsid w:val="001A00A1"/>
    <w:rsid w:val="002014D3"/>
    <w:rsid w:val="00227125"/>
    <w:rsid w:val="002310A1"/>
    <w:rsid w:val="00237206"/>
    <w:rsid w:val="00262FD5"/>
    <w:rsid w:val="002946B8"/>
    <w:rsid w:val="002C2F7D"/>
    <w:rsid w:val="002F54BA"/>
    <w:rsid w:val="00303F0A"/>
    <w:rsid w:val="00330727"/>
    <w:rsid w:val="00334E97"/>
    <w:rsid w:val="00350F98"/>
    <w:rsid w:val="00372E07"/>
    <w:rsid w:val="00376DF5"/>
    <w:rsid w:val="00392F53"/>
    <w:rsid w:val="00396FC0"/>
    <w:rsid w:val="003B676F"/>
    <w:rsid w:val="003C0DAC"/>
    <w:rsid w:val="003C28FE"/>
    <w:rsid w:val="003C3A6A"/>
    <w:rsid w:val="003C40CD"/>
    <w:rsid w:val="003F0662"/>
    <w:rsid w:val="0046601C"/>
    <w:rsid w:val="00477BE6"/>
    <w:rsid w:val="00483B87"/>
    <w:rsid w:val="004A516A"/>
    <w:rsid w:val="004D17FF"/>
    <w:rsid w:val="004F7151"/>
    <w:rsid w:val="005039F3"/>
    <w:rsid w:val="005058E1"/>
    <w:rsid w:val="00522DE2"/>
    <w:rsid w:val="005275EF"/>
    <w:rsid w:val="005B1ADB"/>
    <w:rsid w:val="005C1633"/>
    <w:rsid w:val="005E4D4F"/>
    <w:rsid w:val="005F39FA"/>
    <w:rsid w:val="005F529C"/>
    <w:rsid w:val="00627AA7"/>
    <w:rsid w:val="00654A99"/>
    <w:rsid w:val="00662525"/>
    <w:rsid w:val="00664CD6"/>
    <w:rsid w:val="00682D36"/>
    <w:rsid w:val="00686B01"/>
    <w:rsid w:val="00693372"/>
    <w:rsid w:val="006A0DA4"/>
    <w:rsid w:val="006B0E37"/>
    <w:rsid w:val="006C06FF"/>
    <w:rsid w:val="006E0CBD"/>
    <w:rsid w:val="007378C8"/>
    <w:rsid w:val="00741EC0"/>
    <w:rsid w:val="00754F2E"/>
    <w:rsid w:val="00757354"/>
    <w:rsid w:val="00774C01"/>
    <w:rsid w:val="007D252C"/>
    <w:rsid w:val="007F0506"/>
    <w:rsid w:val="00803917"/>
    <w:rsid w:val="00815B5B"/>
    <w:rsid w:val="008423C3"/>
    <w:rsid w:val="00895838"/>
    <w:rsid w:val="008A5EB1"/>
    <w:rsid w:val="009553C0"/>
    <w:rsid w:val="0096124A"/>
    <w:rsid w:val="00966C01"/>
    <w:rsid w:val="009726DD"/>
    <w:rsid w:val="009A3ECE"/>
    <w:rsid w:val="009F5E14"/>
    <w:rsid w:val="00A060A0"/>
    <w:rsid w:val="00A07737"/>
    <w:rsid w:val="00A156E4"/>
    <w:rsid w:val="00A23C02"/>
    <w:rsid w:val="00A54066"/>
    <w:rsid w:val="00A54F69"/>
    <w:rsid w:val="00A6148D"/>
    <w:rsid w:val="00A64417"/>
    <w:rsid w:val="00A7636C"/>
    <w:rsid w:val="00A97A30"/>
    <w:rsid w:val="00AA3514"/>
    <w:rsid w:val="00B276BA"/>
    <w:rsid w:val="00B60499"/>
    <w:rsid w:val="00B75C49"/>
    <w:rsid w:val="00B83810"/>
    <w:rsid w:val="00B92DD4"/>
    <w:rsid w:val="00BB2745"/>
    <w:rsid w:val="00BB3512"/>
    <w:rsid w:val="00BC6DAA"/>
    <w:rsid w:val="00BD28C4"/>
    <w:rsid w:val="00BD50D8"/>
    <w:rsid w:val="00BF0522"/>
    <w:rsid w:val="00BF05FA"/>
    <w:rsid w:val="00C16509"/>
    <w:rsid w:val="00C34E07"/>
    <w:rsid w:val="00C57DD0"/>
    <w:rsid w:val="00C74C91"/>
    <w:rsid w:val="00C84C5B"/>
    <w:rsid w:val="00C92F27"/>
    <w:rsid w:val="00CD5314"/>
    <w:rsid w:val="00CE1A70"/>
    <w:rsid w:val="00D04F6F"/>
    <w:rsid w:val="00D53E86"/>
    <w:rsid w:val="00D721D6"/>
    <w:rsid w:val="00D736F8"/>
    <w:rsid w:val="00DA06BD"/>
    <w:rsid w:val="00DE05AE"/>
    <w:rsid w:val="00E4115D"/>
    <w:rsid w:val="00E520E6"/>
    <w:rsid w:val="00E85CEF"/>
    <w:rsid w:val="00EE51C3"/>
    <w:rsid w:val="00EF6304"/>
    <w:rsid w:val="00F047B8"/>
    <w:rsid w:val="00F14DEB"/>
    <w:rsid w:val="00F31CAB"/>
    <w:rsid w:val="00F63469"/>
    <w:rsid w:val="00F8515F"/>
    <w:rsid w:val="00FB69AE"/>
    <w:rsid w:val="00FD5D56"/>
    <w:rsid w:val="00FE1080"/>
    <w:rsid w:val="00FF3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3F80D"/>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paragraph" w:styleId="berschrift1">
    <w:name w:val="heading 1"/>
    <w:basedOn w:val="Standard"/>
    <w:link w:val="berschrift1Zchn"/>
    <w:uiPriority w:val="9"/>
    <w:qFormat/>
    <w:rsid w:val="00774C01"/>
    <w:pPr>
      <w:spacing w:before="100" w:beforeAutospacing="1" w:after="100" w:afterAutospacing="1"/>
      <w:jc w:val="left"/>
      <w:outlineLvl w:val="0"/>
    </w:pPr>
    <w:rPr>
      <w:rFonts w:ascii="Times New Roman" w:hAnsi="Times New Roman"/>
      <w:b/>
      <w:bCs/>
      <w:kern w:val="36"/>
      <w:sz w:val="48"/>
      <w:szCs w:val="48"/>
      <w:lang w:val="en-US" w:eastAsia="en-US"/>
    </w:rPr>
  </w:style>
  <w:style w:type="paragraph" w:styleId="berschrift2">
    <w:name w:val="heading 2"/>
    <w:basedOn w:val="Standard"/>
    <w:next w:val="Standard"/>
    <w:link w:val="berschrift2Zchn"/>
    <w:uiPriority w:val="9"/>
    <w:semiHidden/>
    <w:unhideWhenUsed/>
    <w:qFormat/>
    <w:rsid w:val="00BB27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966C01"/>
    <w:rPr>
      <w:color w:val="0563C1" w:themeColor="hyperlink"/>
      <w:u w:val="single"/>
    </w:rPr>
  </w:style>
  <w:style w:type="paragraph" w:styleId="Beschriftung">
    <w:name w:val="caption"/>
    <w:basedOn w:val="Standard"/>
    <w:next w:val="Standard"/>
    <w:uiPriority w:val="35"/>
    <w:unhideWhenUsed/>
    <w:qFormat/>
    <w:rsid w:val="00B276BA"/>
    <w:pPr>
      <w:spacing w:after="200"/>
    </w:pPr>
    <w:rPr>
      <w:i/>
      <w:iCs/>
      <w:color w:val="44546A" w:themeColor="text2"/>
      <w:sz w:val="18"/>
      <w:szCs w:val="18"/>
    </w:rPr>
  </w:style>
  <w:style w:type="character" w:customStyle="1" w:styleId="contribunsubmitted">
    <w:name w:val="contrib_unsubmitted"/>
    <w:basedOn w:val="Absatz-Standardschriftart"/>
    <w:rsid w:val="00754F2E"/>
  </w:style>
  <w:style w:type="character" w:styleId="NichtaufgelsteErwhnung">
    <w:name w:val="Unresolved Mention"/>
    <w:basedOn w:val="Absatz-Standardschriftart"/>
    <w:uiPriority w:val="99"/>
    <w:semiHidden/>
    <w:unhideWhenUsed/>
    <w:rsid w:val="002310A1"/>
    <w:rPr>
      <w:color w:val="605E5C"/>
      <w:shd w:val="clear" w:color="auto" w:fill="E1DFDD"/>
    </w:rPr>
  </w:style>
  <w:style w:type="character" w:customStyle="1" w:styleId="berschrift1Zchn">
    <w:name w:val="Überschrift 1 Zchn"/>
    <w:basedOn w:val="Absatz-Standardschriftart"/>
    <w:link w:val="berschrift1"/>
    <w:uiPriority w:val="9"/>
    <w:rsid w:val="00774C01"/>
    <w:rPr>
      <w:b/>
      <w:bCs/>
      <w:kern w:val="36"/>
      <w:sz w:val="48"/>
      <w:szCs w:val="48"/>
      <w:lang w:val="en-US" w:eastAsia="en-US"/>
    </w:rPr>
  </w:style>
  <w:style w:type="character" w:customStyle="1" w:styleId="berschrift2Zchn">
    <w:name w:val="Überschrift 2 Zchn"/>
    <w:basedOn w:val="Absatz-Standardschriftart"/>
    <w:link w:val="berschrift2"/>
    <w:uiPriority w:val="9"/>
    <w:semiHidden/>
    <w:rsid w:val="00BB2745"/>
    <w:rPr>
      <w:rFonts w:asciiTheme="majorHAnsi" w:eastAsiaTheme="majorEastAsia" w:hAnsiTheme="majorHAnsi" w:cstheme="majorBidi"/>
      <w:color w:val="2E74B5" w:themeColor="accent1" w:themeShade="BF"/>
      <w:sz w:val="26"/>
      <w:szCs w:val="26"/>
      <w:lang w:eastAsia="ko-KR"/>
    </w:rPr>
  </w:style>
  <w:style w:type="character" w:styleId="Hervorhebung">
    <w:name w:val="Emphasis"/>
    <w:basedOn w:val="Absatz-Standardschriftart"/>
    <w:uiPriority w:val="20"/>
    <w:qFormat/>
    <w:rsid w:val="00BB2745"/>
    <w:rPr>
      <w:i/>
      <w:iCs/>
    </w:rPr>
  </w:style>
  <w:style w:type="character" w:styleId="Kommentarzeichen">
    <w:name w:val="annotation reference"/>
    <w:basedOn w:val="Absatz-Standardschriftart"/>
    <w:uiPriority w:val="99"/>
    <w:semiHidden/>
    <w:unhideWhenUsed/>
    <w:rsid w:val="00FF3E2F"/>
    <w:rPr>
      <w:sz w:val="16"/>
      <w:szCs w:val="16"/>
    </w:rPr>
  </w:style>
  <w:style w:type="paragraph" w:styleId="Kommentartext">
    <w:name w:val="annotation text"/>
    <w:basedOn w:val="Standard"/>
    <w:link w:val="KommentartextZchn"/>
    <w:uiPriority w:val="99"/>
    <w:semiHidden/>
    <w:unhideWhenUsed/>
    <w:rsid w:val="00FF3E2F"/>
    <w:rPr>
      <w:szCs w:val="20"/>
    </w:rPr>
  </w:style>
  <w:style w:type="character" w:customStyle="1" w:styleId="KommentartextZchn">
    <w:name w:val="Kommentartext Zchn"/>
    <w:basedOn w:val="Absatz-Standardschriftart"/>
    <w:link w:val="Kommentartext"/>
    <w:uiPriority w:val="99"/>
    <w:semiHidden/>
    <w:rsid w:val="00FF3E2F"/>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FF3E2F"/>
    <w:rPr>
      <w:b/>
      <w:bCs/>
    </w:rPr>
  </w:style>
  <w:style w:type="character" w:customStyle="1" w:styleId="KommentarthemaZchn">
    <w:name w:val="Kommentarthema Zchn"/>
    <w:basedOn w:val="KommentartextZchn"/>
    <w:link w:val="Kommentarthema"/>
    <w:uiPriority w:val="99"/>
    <w:semiHidden/>
    <w:rsid w:val="00FF3E2F"/>
    <w:rPr>
      <w:rFonts w:ascii="Arial" w:hAnsi="Arial"/>
      <w:b/>
      <w:bCs/>
      <w:lang w:eastAsia="ko-KR"/>
    </w:rPr>
  </w:style>
  <w:style w:type="paragraph" w:styleId="Sprechblasentext">
    <w:name w:val="Balloon Text"/>
    <w:basedOn w:val="Standard"/>
    <w:link w:val="SprechblasentextZchn"/>
    <w:uiPriority w:val="99"/>
    <w:semiHidden/>
    <w:unhideWhenUsed/>
    <w:rsid w:val="00FF3E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3E2F"/>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1762">
      <w:bodyDiv w:val="1"/>
      <w:marLeft w:val="0"/>
      <w:marRight w:val="0"/>
      <w:marTop w:val="0"/>
      <w:marBottom w:val="0"/>
      <w:divBdr>
        <w:top w:val="none" w:sz="0" w:space="0" w:color="auto"/>
        <w:left w:val="none" w:sz="0" w:space="0" w:color="auto"/>
        <w:bottom w:val="none" w:sz="0" w:space="0" w:color="auto"/>
        <w:right w:val="none" w:sz="0" w:space="0" w:color="auto"/>
      </w:divBdr>
    </w:div>
    <w:div w:id="250823856">
      <w:bodyDiv w:val="1"/>
      <w:marLeft w:val="0"/>
      <w:marRight w:val="0"/>
      <w:marTop w:val="0"/>
      <w:marBottom w:val="0"/>
      <w:divBdr>
        <w:top w:val="none" w:sz="0" w:space="0" w:color="auto"/>
        <w:left w:val="none" w:sz="0" w:space="0" w:color="auto"/>
        <w:bottom w:val="none" w:sz="0" w:space="0" w:color="auto"/>
        <w:right w:val="none" w:sz="0" w:space="0" w:color="auto"/>
      </w:divBdr>
    </w:div>
    <w:div w:id="1243443035">
      <w:bodyDiv w:val="1"/>
      <w:marLeft w:val="0"/>
      <w:marRight w:val="0"/>
      <w:marTop w:val="0"/>
      <w:marBottom w:val="0"/>
      <w:divBdr>
        <w:top w:val="none" w:sz="0" w:space="0" w:color="auto"/>
        <w:left w:val="none" w:sz="0" w:space="0" w:color="auto"/>
        <w:bottom w:val="none" w:sz="0" w:space="0" w:color="auto"/>
        <w:right w:val="none" w:sz="0" w:space="0" w:color="auto"/>
      </w:divBdr>
    </w:div>
    <w:div w:id="1309431716">
      <w:bodyDiv w:val="1"/>
      <w:marLeft w:val="0"/>
      <w:marRight w:val="0"/>
      <w:marTop w:val="0"/>
      <w:marBottom w:val="0"/>
      <w:divBdr>
        <w:top w:val="none" w:sz="0" w:space="0" w:color="auto"/>
        <w:left w:val="none" w:sz="0" w:space="0" w:color="auto"/>
        <w:bottom w:val="none" w:sz="0" w:space="0" w:color="auto"/>
        <w:right w:val="none" w:sz="0" w:space="0" w:color="auto"/>
      </w:divBdr>
    </w:div>
    <w:div w:id="16598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lr.de/v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FB6D-5D09-40AF-9665-EAA00A75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6139</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Gardian, Hedda</cp:lastModifiedBy>
  <cp:revision>5</cp:revision>
  <dcterms:created xsi:type="dcterms:W3CDTF">2021-05-28T10:24:00Z</dcterms:created>
  <dcterms:modified xsi:type="dcterms:W3CDTF">2021-05-29T18:12:00Z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