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72F1B" w14:textId="0E677318" w:rsidR="005E4D4F" w:rsidRDefault="00787D43" w:rsidP="005E4D4F">
      <w:pPr>
        <w:pStyle w:val="Abstract-Titel"/>
      </w:pPr>
      <w:r w:rsidRPr="00787D43">
        <w:t xml:space="preserve">Geschäftsmodelle zur </w:t>
      </w:r>
      <w:r w:rsidR="0096087E">
        <w:t xml:space="preserve">Temperaturreduktion </w:t>
      </w:r>
      <w:r w:rsidR="001C1EF1">
        <w:t xml:space="preserve">als Schlüsselmaßnahme zur Dekarbonisierung </w:t>
      </w:r>
      <w:r w:rsidR="0096087E">
        <w:t xml:space="preserve">der </w:t>
      </w:r>
      <w:r>
        <w:t xml:space="preserve">Fernwärme </w:t>
      </w:r>
    </w:p>
    <w:p w14:paraId="60971DBC" w14:textId="77777777" w:rsidR="00BF05FA" w:rsidRDefault="004003BF" w:rsidP="00A156E4">
      <w:pPr>
        <w:pStyle w:val="AutorenOrganisation"/>
      </w:pPr>
      <w:r w:rsidRPr="004003BF">
        <w:t>Strom, Wärmeerzeugung und Speicher</w:t>
      </w:r>
    </w:p>
    <w:p w14:paraId="205CAA1D" w14:textId="77777777" w:rsidR="004003BF" w:rsidRDefault="004003BF" w:rsidP="005E4D4F">
      <w:pPr>
        <w:pStyle w:val="AutorenOrganisation"/>
        <w:rPr>
          <w:vertAlign w:val="superscript"/>
        </w:rPr>
      </w:pPr>
      <w:r w:rsidRPr="004003BF">
        <w:rPr>
          <w:lang w:val="de-DE"/>
        </w:rPr>
        <w:t>Roman GEYER</w:t>
      </w:r>
      <w:r w:rsidRPr="00A156E4">
        <w:rPr>
          <w:vertAlign w:val="superscript"/>
        </w:rPr>
        <w:t>1</w:t>
      </w:r>
      <w:r>
        <w:rPr>
          <w:vertAlign w:val="superscript"/>
        </w:rPr>
        <w:t>)</w:t>
      </w:r>
      <w:r w:rsidRPr="005E4D4F">
        <w:t>,</w:t>
      </w:r>
      <w:r w:rsidRPr="004003BF">
        <w:rPr>
          <w:lang w:val="de-DE"/>
        </w:rPr>
        <w:t xml:space="preserve"> Benedikt LEITNER</w:t>
      </w:r>
      <w:r w:rsidRPr="00A156E4">
        <w:rPr>
          <w:vertAlign w:val="superscript"/>
        </w:rPr>
        <w:t>1</w:t>
      </w:r>
      <w:r>
        <w:rPr>
          <w:vertAlign w:val="superscript"/>
        </w:rPr>
        <w:t>)</w:t>
      </w:r>
      <w:r w:rsidRPr="005E4D4F">
        <w:t xml:space="preserve">, </w:t>
      </w:r>
      <w:r w:rsidRPr="004003BF">
        <w:rPr>
          <w:lang w:val="de-DE"/>
        </w:rPr>
        <w:t>Paolo LEONI</w:t>
      </w:r>
      <w:r w:rsidRPr="00A156E4">
        <w:rPr>
          <w:vertAlign w:val="superscript"/>
        </w:rPr>
        <w:t>1</w:t>
      </w:r>
      <w:r>
        <w:rPr>
          <w:vertAlign w:val="superscript"/>
        </w:rPr>
        <w:t>)</w:t>
      </w:r>
      <w:r w:rsidRPr="005E4D4F">
        <w:t>,</w:t>
      </w:r>
      <w:r>
        <w:t xml:space="preserve"> </w:t>
      </w:r>
      <w:r w:rsidRPr="004003BF">
        <w:rPr>
          <w:lang w:val="de-DE"/>
        </w:rPr>
        <w:t>Ralf-Roman SCHMIDT</w:t>
      </w:r>
      <w:r w:rsidRPr="00A156E4">
        <w:rPr>
          <w:vertAlign w:val="superscript"/>
        </w:rPr>
        <w:t>1</w:t>
      </w:r>
      <w:r>
        <w:rPr>
          <w:vertAlign w:val="superscript"/>
        </w:rPr>
        <w:t>)</w:t>
      </w:r>
    </w:p>
    <w:p w14:paraId="1DF6D4D5" w14:textId="6B3FFB43" w:rsidR="004003BF" w:rsidRPr="004003BF" w:rsidRDefault="004003BF" w:rsidP="005E4D4F">
      <w:pPr>
        <w:pStyle w:val="AutorenOrganisation"/>
        <w:rPr>
          <w:lang w:val="en-GB"/>
        </w:rPr>
      </w:pPr>
      <w:r w:rsidRPr="004003BF">
        <w:rPr>
          <w:vertAlign w:val="superscript"/>
          <w:lang w:val="en-GB"/>
        </w:rPr>
        <w:t>(</w:t>
      </w:r>
      <w:proofErr w:type="gramStart"/>
      <w:r w:rsidRPr="004003BF">
        <w:rPr>
          <w:vertAlign w:val="superscript"/>
          <w:lang w:val="en-GB"/>
        </w:rPr>
        <w:t>1)</w:t>
      </w:r>
      <w:r w:rsidRPr="004003BF">
        <w:rPr>
          <w:lang w:val="en-GB"/>
        </w:rPr>
        <w:t>AIT</w:t>
      </w:r>
      <w:proofErr w:type="gramEnd"/>
      <w:r w:rsidRPr="004003BF">
        <w:rPr>
          <w:lang w:val="en-GB"/>
        </w:rPr>
        <w:t xml:space="preserve"> Austrian Institute of Technology GmbH</w:t>
      </w:r>
      <w:r w:rsidR="00787D43">
        <w:rPr>
          <w:lang w:val="en-GB"/>
        </w:rPr>
        <w:t xml:space="preserve"> </w:t>
      </w:r>
    </w:p>
    <w:p w14:paraId="214FAEFF" w14:textId="77777777" w:rsidR="00A07737" w:rsidRPr="004003BF" w:rsidRDefault="00A07737" w:rsidP="00FB69AE">
      <w:pPr>
        <w:rPr>
          <w:lang w:val="en-GB"/>
        </w:rPr>
      </w:pPr>
    </w:p>
    <w:p w14:paraId="08F92849" w14:textId="77777777" w:rsidR="005E4D4F" w:rsidRPr="005E4D4F" w:rsidRDefault="005E4D4F" w:rsidP="005E4D4F">
      <w:pPr>
        <w:pStyle w:val="Ueberschrift"/>
      </w:pPr>
      <w:r w:rsidRPr="005E4D4F">
        <w:t>Motivation und zentrale Fragestellung</w:t>
      </w:r>
    </w:p>
    <w:p w14:paraId="598B1C1C" w14:textId="77777777" w:rsidR="009B2D78" w:rsidRDefault="009B2D78" w:rsidP="00227125"/>
    <w:p w14:paraId="4C3EE498" w14:textId="419C2A38" w:rsidR="00E14097" w:rsidRDefault="00787D43" w:rsidP="00B128E8">
      <w:r>
        <w:t xml:space="preserve">Der dominante erneuerbare Energieträger in der Fernwärme in Österreich ist Biomasse [1] und wird es laut </w:t>
      </w:r>
      <w:r w:rsidR="0096087E">
        <w:t xml:space="preserve">aktuellen </w:t>
      </w:r>
      <w:r>
        <w:t>Prognose</w:t>
      </w:r>
      <w:r w:rsidR="0096087E">
        <w:t>n</w:t>
      </w:r>
      <w:r>
        <w:t xml:space="preserve"> </w:t>
      </w:r>
      <w:r w:rsidR="0096087E">
        <w:t xml:space="preserve">auch </w:t>
      </w:r>
      <w:r>
        <w:t>bleiben [2]. Jedoch wird vor allem in der Industrie eine große Nachfrage nach erneuerbaren Brennstoffen prognostiziert [3]</w:t>
      </w:r>
      <w:r w:rsidR="0096087E">
        <w:t xml:space="preserve">, was eine erhebliche Nutzungskonkurrenz </w:t>
      </w:r>
      <w:r w:rsidR="00501E37">
        <w:t>erzeugen wird</w:t>
      </w:r>
      <w:r w:rsidR="0096087E">
        <w:t>.</w:t>
      </w:r>
      <w:r>
        <w:t xml:space="preserve"> </w:t>
      </w:r>
      <w:r w:rsidR="004A3AF4">
        <w:t>Für die wirtschaftliche Integration alternativer Wärmequellen</w:t>
      </w:r>
      <w:r w:rsidR="00801779">
        <w:t xml:space="preserve"> </w:t>
      </w:r>
      <w:r w:rsidR="004A3AF4">
        <w:t xml:space="preserve">wie </w:t>
      </w:r>
      <w:r w:rsidR="00F32D77">
        <w:t xml:space="preserve">Solar- und Geothermie, Umgebungs- und Abwärme </w:t>
      </w:r>
      <w:r w:rsidR="004A3AF4">
        <w:t xml:space="preserve">sind die aktuelle hohen Netztemperaturen </w:t>
      </w:r>
      <w:r w:rsidR="00B128E8">
        <w:t xml:space="preserve">jedoch </w:t>
      </w:r>
      <w:r w:rsidR="004A3AF4">
        <w:t xml:space="preserve">eine signifikante Barriere. </w:t>
      </w:r>
      <w:r>
        <w:t>Obwohl v</w:t>
      </w:r>
      <w:r w:rsidRPr="00787D43">
        <w:t xml:space="preserve">iele Maßnahmen zur Reduktion von </w:t>
      </w:r>
      <w:r w:rsidR="0096087E">
        <w:t>T</w:t>
      </w:r>
      <w:r w:rsidRPr="00787D43">
        <w:t>emperaturen bekannt und gut beherrschbar</w:t>
      </w:r>
      <w:r>
        <w:t xml:space="preserve"> sind, sind d</w:t>
      </w:r>
      <w:r w:rsidRPr="00787D43">
        <w:t>iese allerdings</w:t>
      </w:r>
      <w:r w:rsidR="0096087E">
        <w:t xml:space="preserve"> oftmals</w:t>
      </w:r>
      <w:r w:rsidRPr="00787D43">
        <w:t xml:space="preserve"> Gebäudeseitig durchzuführen</w:t>
      </w:r>
      <w:r w:rsidR="00B128E8">
        <w:t>.</w:t>
      </w:r>
    </w:p>
    <w:p w14:paraId="23D478A8" w14:textId="77777777" w:rsidR="00E14097" w:rsidRDefault="00E14097" w:rsidP="00E14097"/>
    <w:p w14:paraId="6CA7296F" w14:textId="77777777" w:rsidR="005E4D4F" w:rsidRPr="005E4D4F" w:rsidRDefault="005E4D4F" w:rsidP="005E4D4F">
      <w:pPr>
        <w:pStyle w:val="Ueberschrift"/>
      </w:pPr>
      <w:r w:rsidRPr="005E4D4F">
        <w:t>Methodische Vorgangsweise</w:t>
      </w:r>
    </w:p>
    <w:p w14:paraId="2B55E5D4" w14:textId="3DDCF34F" w:rsidR="00B128E8" w:rsidRDefault="0096087E" w:rsidP="00B128E8">
      <w:pPr>
        <w:rPr>
          <w:lang w:val="de-AT"/>
        </w:rPr>
      </w:pPr>
      <w:r>
        <w:rPr>
          <w:lang w:val="de-AT"/>
        </w:rPr>
        <w:t>Im Rahmen des Projekts T2LowEx</w:t>
      </w:r>
      <w:r w:rsidRPr="0096087E">
        <w:t xml:space="preserve"> </w:t>
      </w:r>
      <w:r w:rsidRPr="0096087E">
        <w:rPr>
          <w:lang w:val="de-AT"/>
        </w:rPr>
        <w:t>(Projekt-Nr. 858747)</w:t>
      </w:r>
      <w:r>
        <w:rPr>
          <w:lang w:val="de-AT"/>
        </w:rPr>
        <w:t xml:space="preserve">, das </w:t>
      </w:r>
      <w:r w:rsidRPr="0096087E">
        <w:rPr>
          <w:lang w:val="de-AT"/>
        </w:rPr>
        <w:t>im Rahmen der</w:t>
      </w:r>
      <w:r>
        <w:rPr>
          <w:lang w:val="de-AT"/>
        </w:rPr>
        <w:t xml:space="preserve"> </w:t>
      </w:r>
      <w:r w:rsidRPr="0096087E">
        <w:rPr>
          <w:lang w:val="de-AT"/>
        </w:rPr>
        <w:t>3. Ausschreibung des Energieforschungsprogramms</w:t>
      </w:r>
      <w:r>
        <w:rPr>
          <w:lang w:val="de-AT"/>
        </w:rPr>
        <w:t xml:space="preserve"> </w:t>
      </w:r>
      <w:r w:rsidRPr="0096087E">
        <w:rPr>
          <w:lang w:val="de-AT"/>
        </w:rPr>
        <w:t>des Klima</w:t>
      </w:r>
      <w:r>
        <w:rPr>
          <w:lang w:val="de-AT"/>
        </w:rPr>
        <w:t xml:space="preserve">- </w:t>
      </w:r>
      <w:r w:rsidRPr="0096087E">
        <w:rPr>
          <w:lang w:val="de-AT"/>
        </w:rPr>
        <w:t>und</w:t>
      </w:r>
      <w:r>
        <w:rPr>
          <w:lang w:val="de-AT"/>
        </w:rPr>
        <w:t xml:space="preserve"> </w:t>
      </w:r>
      <w:r w:rsidRPr="0096087E">
        <w:rPr>
          <w:lang w:val="de-AT"/>
        </w:rPr>
        <w:t>Energiefonds</w:t>
      </w:r>
      <w:r>
        <w:rPr>
          <w:lang w:val="de-AT"/>
        </w:rPr>
        <w:t xml:space="preserve"> gefördert wird, werden </w:t>
      </w:r>
      <w:r w:rsidR="00B128E8">
        <w:rPr>
          <w:lang w:val="de-AT"/>
        </w:rPr>
        <w:t xml:space="preserve">unterschiedliche Optionen </w:t>
      </w:r>
      <w:r>
        <w:rPr>
          <w:lang w:val="de-AT"/>
        </w:rPr>
        <w:t xml:space="preserve">zur </w:t>
      </w:r>
      <w:r w:rsidRPr="0096087E">
        <w:rPr>
          <w:lang w:val="de-AT"/>
        </w:rPr>
        <w:t>Temperaturreduktion bei bestehenden</w:t>
      </w:r>
      <w:r>
        <w:rPr>
          <w:lang w:val="de-AT"/>
        </w:rPr>
        <w:t xml:space="preserve"> </w:t>
      </w:r>
      <w:r w:rsidRPr="0096087E">
        <w:rPr>
          <w:lang w:val="de-AT"/>
        </w:rPr>
        <w:t xml:space="preserve">Wärmenetzen </w:t>
      </w:r>
      <w:r>
        <w:rPr>
          <w:lang w:val="de-AT"/>
        </w:rPr>
        <w:t xml:space="preserve">untersucht. </w:t>
      </w:r>
      <w:r w:rsidR="00B128E8">
        <w:rPr>
          <w:lang w:val="de-AT"/>
        </w:rPr>
        <w:t xml:space="preserve">Ein wesentlicher Teil hierbei war die Entwicklung innovativer Geschäftsmodelle, die berücksichtigen, dass </w:t>
      </w:r>
      <w:r w:rsidR="00B128E8" w:rsidRPr="009B2D78">
        <w:rPr>
          <w:lang w:val="de-AT"/>
        </w:rPr>
        <w:t xml:space="preserve">im Regelfall die Einsparungen </w:t>
      </w:r>
      <w:r w:rsidR="00B128E8">
        <w:rPr>
          <w:lang w:val="de-AT"/>
        </w:rPr>
        <w:t xml:space="preserve">aufgrund geringerer Netztemperaturen </w:t>
      </w:r>
      <w:r w:rsidR="00B128E8" w:rsidRPr="009B2D78">
        <w:rPr>
          <w:lang w:val="de-AT"/>
        </w:rPr>
        <w:t>zugunsten des Wärmeversorgers gehe</w:t>
      </w:r>
      <w:bookmarkStart w:id="0" w:name="_GoBack"/>
      <w:bookmarkEnd w:id="0"/>
      <w:r w:rsidR="00B128E8" w:rsidRPr="009B2D78">
        <w:rPr>
          <w:lang w:val="de-AT"/>
        </w:rPr>
        <w:t>n, die Kosten aber bei den Kundenanlagen anfallen.</w:t>
      </w:r>
      <w:r w:rsidR="00B128E8">
        <w:rPr>
          <w:lang w:val="de-AT"/>
        </w:rPr>
        <w:t xml:space="preserve"> </w:t>
      </w:r>
    </w:p>
    <w:p w14:paraId="606EE94D" w14:textId="77777777" w:rsidR="008D4574" w:rsidRDefault="008D4574" w:rsidP="00B128E8">
      <w:pPr>
        <w:rPr>
          <w:lang w:val="de-AT"/>
        </w:rPr>
      </w:pPr>
    </w:p>
    <w:p w14:paraId="1347706B" w14:textId="22A004DA" w:rsidR="00787D43" w:rsidRPr="009B2D78" w:rsidRDefault="008D4574" w:rsidP="00787D43">
      <w:pPr>
        <w:rPr>
          <w:lang w:val="de-AT"/>
        </w:rPr>
      </w:pPr>
      <w:r>
        <w:rPr>
          <w:lang w:val="de-AT"/>
        </w:rPr>
        <w:t xml:space="preserve">Zur Entwicklung der Geschäftsmodelle </w:t>
      </w:r>
      <w:r w:rsidR="00B128E8">
        <w:rPr>
          <w:lang w:val="de-AT"/>
        </w:rPr>
        <w:t xml:space="preserve">wurden neben einer </w:t>
      </w:r>
      <w:r>
        <w:rPr>
          <w:lang w:val="de-AT"/>
        </w:rPr>
        <w:t xml:space="preserve">detaillierten </w:t>
      </w:r>
      <w:r w:rsidR="00B128E8">
        <w:rPr>
          <w:lang w:val="de-AT"/>
        </w:rPr>
        <w:t>Kosten-Nutzenanalyse</w:t>
      </w:r>
      <w:r>
        <w:rPr>
          <w:lang w:val="de-AT"/>
        </w:rPr>
        <w:t xml:space="preserve"> reduzierter Netztemperaturen</w:t>
      </w:r>
      <w:r w:rsidR="00B128E8">
        <w:rPr>
          <w:lang w:val="de-AT"/>
        </w:rPr>
        <w:t xml:space="preserve">, </w:t>
      </w:r>
      <w:r w:rsidR="00787D43" w:rsidRPr="009B2D78">
        <w:rPr>
          <w:lang w:val="de-AT"/>
        </w:rPr>
        <w:t xml:space="preserve">technische Einschränkungen und </w:t>
      </w:r>
      <w:r w:rsidR="001C1EF1">
        <w:rPr>
          <w:lang w:val="de-AT"/>
        </w:rPr>
        <w:t>unterschiedlichen Besitzverhältnissen</w:t>
      </w:r>
      <w:r w:rsidR="00787D43" w:rsidRPr="009B2D78">
        <w:rPr>
          <w:lang w:val="de-AT"/>
        </w:rPr>
        <w:t xml:space="preserve"> bzw. Zugangsmöglichkeiten zu den Kundenanlagen </w:t>
      </w:r>
      <w:r>
        <w:rPr>
          <w:lang w:val="de-AT"/>
        </w:rPr>
        <w:t>mit Hilfe von</w:t>
      </w:r>
      <w:r w:rsidR="00B128E8">
        <w:rPr>
          <w:lang w:val="de-AT"/>
        </w:rPr>
        <w:t xml:space="preserve"> Experteninterviews analysiert</w:t>
      </w:r>
      <w:r w:rsidR="00787D43" w:rsidRPr="009B2D78">
        <w:rPr>
          <w:lang w:val="de-AT"/>
        </w:rPr>
        <w:t xml:space="preserve">. </w:t>
      </w:r>
      <w:r>
        <w:rPr>
          <w:lang w:val="de-AT"/>
        </w:rPr>
        <w:t xml:space="preserve">Die unterschiedlichen </w:t>
      </w:r>
      <w:r w:rsidR="00787D43" w:rsidRPr="009B2D78">
        <w:rPr>
          <w:lang w:val="de-AT"/>
        </w:rPr>
        <w:t xml:space="preserve">Geschäftsmodelle </w:t>
      </w:r>
      <w:r>
        <w:rPr>
          <w:lang w:val="de-AT"/>
        </w:rPr>
        <w:t xml:space="preserve">wurden </w:t>
      </w:r>
      <w:r w:rsidR="00787D43" w:rsidRPr="009B2D78">
        <w:rPr>
          <w:lang w:val="de-AT"/>
        </w:rPr>
        <w:t xml:space="preserve">mit Hilfe eines Berechnungstools anhand konkreter Fallbeispiele </w:t>
      </w:r>
      <w:r>
        <w:rPr>
          <w:lang w:val="de-AT"/>
        </w:rPr>
        <w:t xml:space="preserve">der Projektpartner quantitativ bewertet bzw. zugeordnet </w:t>
      </w:r>
      <w:r w:rsidR="00787D43" w:rsidRPr="009B2D78">
        <w:rPr>
          <w:lang w:val="de-AT"/>
        </w:rPr>
        <w:t>und mit den im Projekt involvierten Wärmeversorgungsunternehmen diskutiert</w:t>
      </w:r>
      <w:r w:rsidR="00787D43">
        <w:rPr>
          <w:lang w:val="de-AT"/>
        </w:rPr>
        <w:t>.</w:t>
      </w:r>
      <w:r w:rsidR="00B128E8" w:rsidRPr="00B128E8">
        <w:rPr>
          <w:lang w:val="de-AT"/>
        </w:rPr>
        <w:t xml:space="preserve"> </w:t>
      </w:r>
      <w:r w:rsidR="00B128E8">
        <w:rPr>
          <w:lang w:val="de-AT"/>
        </w:rPr>
        <w:t xml:space="preserve">Darauf basierend wurde </w:t>
      </w:r>
      <w:r w:rsidR="00B128E8" w:rsidRPr="00787D43">
        <w:rPr>
          <w:lang w:val="de-AT"/>
        </w:rPr>
        <w:t xml:space="preserve">eine SWOT – Analyse (Akronym für </w:t>
      </w:r>
      <w:proofErr w:type="spellStart"/>
      <w:r w:rsidR="00B128E8" w:rsidRPr="00787D43">
        <w:rPr>
          <w:lang w:val="de-AT"/>
        </w:rPr>
        <w:t>Strengths</w:t>
      </w:r>
      <w:proofErr w:type="spellEnd"/>
      <w:r w:rsidR="00B128E8" w:rsidRPr="00787D43">
        <w:rPr>
          <w:lang w:val="de-AT"/>
        </w:rPr>
        <w:t xml:space="preserve"> (Stärken), </w:t>
      </w:r>
      <w:proofErr w:type="spellStart"/>
      <w:r w:rsidR="00B128E8" w:rsidRPr="00787D43">
        <w:rPr>
          <w:lang w:val="de-AT"/>
        </w:rPr>
        <w:t>Weaknesses</w:t>
      </w:r>
      <w:proofErr w:type="spellEnd"/>
      <w:r w:rsidR="00B128E8" w:rsidRPr="00787D43">
        <w:rPr>
          <w:lang w:val="de-AT"/>
        </w:rPr>
        <w:t xml:space="preserve"> (Schwächen), </w:t>
      </w:r>
      <w:proofErr w:type="spellStart"/>
      <w:r w:rsidR="00B128E8" w:rsidRPr="00787D43">
        <w:rPr>
          <w:lang w:val="de-AT"/>
        </w:rPr>
        <w:t>Opportunities</w:t>
      </w:r>
      <w:proofErr w:type="spellEnd"/>
      <w:r w:rsidR="00B128E8" w:rsidRPr="00787D43">
        <w:rPr>
          <w:lang w:val="de-AT"/>
        </w:rPr>
        <w:t xml:space="preserve"> (Chancen) und </w:t>
      </w:r>
      <w:proofErr w:type="spellStart"/>
      <w:r w:rsidR="00B128E8" w:rsidRPr="00787D43">
        <w:rPr>
          <w:lang w:val="de-AT"/>
        </w:rPr>
        <w:t>Threats</w:t>
      </w:r>
      <w:proofErr w:type="spellEnd"/>
      <w:r w:rsidR="00B128E8" w:rsidRPr="00787D43">
        <w:rPr>
          <w:lang w:val="de-AT"/>
        </w:rPr>
        <w:t xml:space="preserve"> (Risiken)) erstellt</w:t>
      </w:r>
      <w:r w:rsidR="00B128E8">
        <w:rPr>
          <w:lang w:val="de-AT"/>
        </w:rPr>
        <w:t xml:space="preserve">. </w:t>
      </w:r>
    </w:p>
    <w:p w14:paraId="27F4148E" w14:textId="77777777" w:rsidR="005E4D4F" w:rsidRPr="005E4D4F" w:rsidRDefault="005E4D4F" w:rsidP="00227125"/>
    <w:p w14:paraId="59C56340" w14:textId="77777777" w:rsidR="005E4D4F" w:rsidRPr="005E4D4F" w:rsidRDefault="005E4D4F" w:rsidP="005E4D4F">
      <w:pPr>
        <w:pStyle w:val="Ueberschrift"/>
      </w:pPr>
      <w:r w:rsidRPr="005E4D4F">
        <w:t>Ergebnisse und Schlussfolgerungen</w:t>
      </w:r>
    </w:p>
    <w:p w14:paraId="2CA208E5" w14:textId="7DAEDA10" w:rsidR="00B128E8" w:rsidRDefault="008D4574" w:rsidP="00B128E8">
      <w:pPr>
        <w:rPr>
          <w:lang w:val="de-AT"/>
        </w:rPr>
      </w:pPr>
      <w:r>
        <w:rPr>
          <w:lang w:val="de-AT"/>
        </w:rPr>
        <w:t xml:space="preserve">Es wurden die folgenden </w:t>
      </w:r>
      <w:r w:rsidR="00B128E8">
        <w:rPr>
          <w:lang w:val="de-AT"/>
        </w:rPr>
        <w:t>Geschäftsmodelle</w:t>
      </w:r>
      <w:r>
        <w:rPr>
          <w:lang w:val="de-AT"/>
        </w:rPr>
        <w:t xml:space="preserve"> entwickelt: </w:t>
      </w:r>
    </w:p>
    <w:p w14:paraId="1A54BDE3" w14:textId="77777777" w:rsidR="00B128E8" w:rsidRPr="009B2D78" w:rsidRDefault="00B128E8" w:rsidP="00B128E8">
      <w:pPr>
        <w:numPr>
          <w:ilvl w:val="0"/>
          <w:numId w:val="5"/>
        </w:numPr>
        <w:rPr>
          <w:lang w:val="de-AT"/>
        </w:rPr>
      </w:pPr>
      <w:r w:rsidRPr="009B2D78">
        <w:rPr>
          <w:b/>
          <w:bCs/>
          <w:lang w:val="de-AT"/>
        </w:rPr>
        <w:t>Eigeninvestition</w:t>
      </w:r>
      <w:r w:rsidRPr="009B2D78">
        <w:rPr>
          <w:b/>
          <w:lang w:val="de-AT"/>
        </w:rPr>
        <w:t xml:space="preserve">: </w:t>
      </w:r>
      <w:r w:rsidRPr="009B2D78">
        <w:rPr>
          <w:lang w:val="de-AT"/>
        </w:rPr>
        <w:t>Der Wärmeversorger übernimmt die Investition und führt auch die Rücklaufsenkenden Maßnahmen beim Kunden durch, die „Rückzahlung“ der Maßnahmen wird durch Einsparungen in den Betriebskosten realisiert</w:t>
      </w:r>
    </w:p>
    <w:p w14:paraId="40057EB0" w14:textId="77777777" w:rsidR="00B128E8" w:rsidRPr="009B2D78" w:rsidRDefault="00B128E8" w:rsidP="00B128E8">
      <w:pPr>
        <w:numPr>
          <w:ilvl w:val="0"/>
          <w:numId w:val="5"/>
        </w:numPr>
        <w:rPr>
          <w:bCs/>
          <w:lang w:val="de-AT"/>
        </w:rPr>
      </w:pPr>
      <w:r w:rsidRPr="009B2D78">
        <w:rPr>
          <w:b/>
          <w:bCs/>
          <w:lang w:val="de-AT"/>
        </w:rPr>
        <w:t xml:space="preserve">Kundenmotivation: </w:t>
      </w:r>
      <w:r w:rsidRPr="009B2D78">
        <w:rPr>
          <w:bCs/>
          <w:lang w:val="de-AT"/>
        </w:rPr>
        <w:t xml:space="preserve">Der Kunde übernimmt die Investition bzw. führt die Maßnahmen selbst durch, „Rückzahlung“ der Investitionen / Aufwendungen durch Bonus-(Malus-)Tarif in Abhängigkeit der Rücklautemperatur </w:t>
      </w:r>
    </w:p>
    <w:p w14:paraId="2DD9FBE2" w14:textId="77777777" w:rsidR="00B128E8" w:rsidRPr="009B2D78" w:rsidRDefault="00B128E8" w:rsidP="00B128E8">
      <w:pPr>
        <w:numPr>
          <w:ilvl w:val="0"/>
          <w:numId w:val="5"/>
        </w:numPr>
        <w:rPr>
          <w:bCs/>
          <w:lang w:val="de-AT"/>
        </w:rPr>
      </w:pPr>
      <w:r w:rsidRPr="009B2D78">
        <w:rPr>
          <w:b/>
          <w:bCs/>
          <w:lang w:val="de-AT"/>
        </w:rPr>
        <w:t>Darlehen</w:t>
      </w:r>
      <w:r w:rsidRPr="009B2D78">
        <w:rPr>
          <w:lang w:val="de-AT"/>
        </w:rPr>
        <w:t xml:space="preserve"> </w:t>
      </w:r>
      <w:r w:rsidRPr="009B2D78">
        <w:rPr>
          <w:b/>
          <w:bCs/>
          <w:lang w:val="de-AT"/>
        </w:rPr>
        <w:t xml:space="preserve">z.B. Crowdfunding: </w:t>
      </w:r>
      <w:r w:rsidRPr="009B2D78">
        <w:rPr>
          <w:bCs/>
          <w:lang w:val="de-AT"/>
        </w:rPr>
        <w:t>externe Investoren übernehmen die Investition in die Maßnahmen, Rückzahlung inkl. Zinsen über eine vereinbarte Zeit</w:t>
      </w:r>
    </w:p>
    <w:p w14:paraId="1EA0CDB1" w14:textId="77777777" w:rsidR="00B128E8" w:rsidRPr="009B2D78" w:rsidRDefault="00B128E8" w:rsidP="00B128E8">
      <w:pPr>
        <w:numPr>
          <w:ilvl w:val="0"/>
          <w:numId w:val="5"/>
        </w:numPr>
        <w:rPr>
          <w:bCs/>
          <w:lang w:val="de-AT"/>
        </w:rPr>
      </w:pPr>
      <w:proofErr w:type="spellStart"/>
      <w:r w:rsidRPr="009B2D78">
        <w:rPr>
          <w:b/>
          <w:bCs/>
          <w:lang w:val="de-AT"/>
        </w:rPr>
        <w:t>Contracting</w:t>
      </w:r>
      <w:proofErr w:type="spellEnd"/>
      <w:r w:rsidRPr="009B2D78">
        <w:rPr>
          <w:bCs/>
          <w:lang w:val="de-AT"/>
        </w:rPr>
        <w:t xml:space="preserve">: Ein externer </w:t>
      </w:r>
      <w:proofErr w:type="spellStart"/>
      <w:r w:rsidRPr="009B2D78">
        <w:rPr>
          <w:bCs/>
          <w:lang w:val="de-AT"/>
        </w:rPr>
        <w:t>Contractor</w:t>
      </w:r>
      <w:proofErr w:type="spellEnd"/>
      <w:r w:rsidRPr="009B2D78">
        <w:rPr>
          <w:bCs/>
          <w:lang w:val="de-AT"/>
        </w:rPr>
        <w:t xml:space="preserve"> setzt die Maßnahme beim Kunden um. Die Maßnahmen können z.B. vom EVU ausgeschrieben werden und nach Bestbieterprinzip vergeben; Bzw. kann die Rückzahlung der Investitionen durch Aufteilung der realen Einsparungen erfolgen. </w:t>
      </w:r>
    </w:p>
    <w:p w14:paraId="68B3491E" w14:textId="77777777" w:rsidR="008D4574" w:rsidRDefault="008D4574" w:rsidP="00B128E8">
      <w:pPr>
        <w:rPr>
          <w:lang w:val="de-AT"/>
        </w:rPr>
      </w:pPr>
    </w:p>
    <w:p w14:paraId="0ACA4D1C" w14:textId="56828801" w:rsidR="00501E37" w:rsidRPr="009B2D78" w:rsidRDefault="008D4574" w:rsidP="00501E37">
      <w:r>
        <w:rPr>
          <w:lang w:val="de-AT"/>
        </w:rPr>
        <w:t>Hierbei sind d</w:t>
      </w:r>
      <w:r w:rsidR="00B128E8" w:rsidRPr="009B2D78">
        <w:rPr>
          <w:lang w:val="de-AT"/>
        </w:rPr>
        <w:t xml:space="preserve">ie Geschäftsmodelle 1 </w:t>
      </w:r>
      <w:r w:rsidR="00B128E8" w:rsidRPr="009B2D78">
        <w:t>und 2 am realistischsten, da diese in der Hand des Betreibers sind</w:t>
      </w:r>
      <w:r w:rsidR="00787D43" w:rsidRPr="00787D43">
        <w:rPr>
          <w:lang w:val="de-AT"/>
        </w:rPr>
        <w:t>.</w:t>
      </w:r>
      <w:r w:rsidR="00501E37">
        <w:rPr>
          <w:lang w:val="de-AT"/>
        </w:rPr>
        <w:t xml:space="preserve"> </w:t>
      </w:r>
      <w:r w:rsidR="00501E37">
        <w:t xml:space="preserve">Die Kosten-Nutzen-Analyse </w:t>
      </w:r>
      <w:r w:rsidR="00501E37" w:rsidRPr="008D4574">
        <w:t>zeigt</w:t>
      </w:r>
      <w:r w:rsidR="00501E37">
        <w:t>e</w:t>
      </w:r>
      <w:r w:rsidR="00501E37" w:rsidRPr="008D4574">
        <w:t>, dass bei Fernwärmenetzen mit einer Dominanz an Verbrennungstechnologien kein attraktives Geschäftsmodell erzielt werden konnte, wohingegen geringe Systemtemperaturen bei alternativen Wärmequellen zahlreiche Vorteile haben.</w:t>
      </w:r>
    </w:p>
    <w:p w14:paraId="047D7C06" w14:textId="0DFCDFB3" w:rsidR="002946B8" w:rsidRPr="00501E37" w:rsidRDefault="002946B8" w:rsidP="00227125"/>
    <w:p w14:paraId="340E3317" w14:textId="2324D16A" w:rsidR="00787D43" w:rsidRDefault="00501E37" w:rsidP="00227125">
      <w:pPr>
        <w:rPr>
          <w:lang w:val="de-AT"/>
        </w:rPr>
      </w:pPr>
      <w:r>
        <w:rPr>
          <w:lang w:val="de-AT"/>
        </w:rPr>
        <w:t xml:space="preserve">Die Ergebnisse der allgemeinen SWOT Analyse ist </w:t>
      </w:r>
      <w:r w:rsidRPr="00787D43">
        <w:rPr>
          <w:lang w:val="de-AT"/>
        </w:rPr>
        <w:t xml:space="preserve">in </w:t>
      </w:r>
      <w:r>
        <w:rPr>
          <w:lang w:val="de-AT"/>
        </w:rPr>
        <w:t>der folgenden Tabelle</w:t>
      </w:r>
      <w:r w:rsidRPr="00787D43">
        <w:rPr>
          <w:lang w:val="de-AT"/>
        </w:rPr>
        <w:t xml:space="preserve"> dargestellt</w:t>
      </w:r>
    </w:p>
    <w:p w14:paraId="4E947CFA" w14:textId="304C5AB9" w:rsidR="00787D43" w:rsidRDefault="00787D43" w:rsidP="00787D43">
      <w:pPr>
        <w:jc w:val="center"/>
        <w:rPr>
          <w:lang w:val="de-AT"/>
        </w:rPr>
      </w:pPr>
      <w:r>
        <w:rPr>
          <w:noProof/>
        </w:rPr>
        <w:lastRenderedPageBreak/>
        <w:drawing>
          <wp:inline distT="0" distB="0" distL="0" distR="0" wp14:anchorId="00AAC7BA" wp14:editId="416E69D9">
            <wp:extent cx="4672965" cy="2440601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5877"/>
                    <a:stretch/>
                  </pic:blipFill>
                  <pic:spPr bwMode="auto">
                    <a:xfrm>
                      <a:off x="0" y="0"/>
                      <a:ext cx="4675796" cy="2442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930A40" w14:textId="02C8773A" w:rsidR="00787D43" w:rsidRPr="008D4574" w:rsidRDefault="00787D43" w:rsidP="008D4574">
      <w:pPr>
        <w:pStyle w:val="Abbildungsbeschriftung"/>
        <w:jc w:val="center"/>
      </w:pPr>
      <w:r w:rsidRPr="002946B8">
        <w:t>Abbildung 1</w:t>
      </w:r>
      <w:r>
        <w:t>: SWOT Analyse von Geschäftsmodellen zur Reduktion der Rücklauftemperaturen</w:t>
      </w:r>
    </w:p>
    <w:p w14:paraId="587B97E3" w14:textId="68A8668D" w:rsidR="00787D43" w:rsidRDefault="00787D43" w:rsidP="00787D43">
      <w:pPr>
        <w:rPr>
          <w:lang w:val="de-AT"/>
        </w:rPr>
      </w:pPr>
    </w:p>
    <w:p w14:paraId="24227DEA" w14:textId="77777777" w:rsidR="009B2D78" w:rsidRPr="009B2D78" w:rsidRDefault="009B2D78" w:rsidP="00227125">
      <w:pPr>
        <w:rPr>
          <w:lang w:val="de-AT"/>
        </w:rPr>
      </w:pPr>
    </w:p>
    <w:p w14:paraId="5A4548FB" w14:textId="77777777" w:rsidR="005E4D4F" w:rsidRPr="005E4D4F" w:rsidRDefault="005E4D4F" w:rsidP="00A156E4">
      <w:pPr>
        <w:pStyle w:val="Ueberschrift"/>
      </w:pPr>
      <w:bookmarkStart w:id="1" w:name="_Toc26086066"/>
      <w:bookmarkStart w:id="2" w:name="_Toc68418491"/>
      <w:r w:rsidRPr="005E4D4F">
        <w:t>Literatur</w:t>
      </w:r>
      <w:bookmarkEnd w:id="1"/>
      <w:bookmarkEnd w:id="2"/>
    </w:p>
    <w:p w14:paraId="2F0DB042" w14:textId="4CCE997B" w:rsidR="005E4D4F" w:rsidRPr="00787D43" w:rsidRDefault="00483B87" w:rsidP="00D56406">
      <w:pPr>
        <w:pStyle w:val="Literatur"/>
      </w:pPr>
      <w:r w:rsidRPr="00787D43">
        <w:t>[1]</w:t>
      </w:r>
      <w:r w:rsidRPr="00787D43">
        <w:tab/>
      </w:r>
      <w:r w:rsidR="00D56406" w:rsidRPr="00787D43">
        <w:t xml:space="preserve">Bundesministerium für Klimaschutz, Umwelt, Energie, Mobilität, Innovation und Technologie (BMK): Energie in Österreich, Zahlen, Daten, Fakten; Wien, 2020; </w:t>
      </w:r>
      <w:hyperlink r:id="rId8" w:history="1">
        <w:r w:rsidR="00C709BE" w:rsidRPr="00B836E7">
          <w:rPr>
            <w:rStyle w:val="Hyperlink"/>
          </w:rPr>
          <w:t>https://www.bmk.gv.at/dam/jcr:f0bdbaa4-59f2-4bde-9af9-e139f9568769/Energie_in_OE_2020_ua.pdf</w:t>
        </w:r>
      </w:hyperlink>
      <w:r w:rsidR="00C709BE">
        <w:t xml:space="preserve"> </w:t>
      </w:r>
      <w:r w:rsidR="00D56406" w:rsidRPr="00787D43">
        <w:t xml:space="preserve"> </w:t>
      </w:r>
    </w:p>
    <w:p w14:paraId="3B2F9D1B" w14:textId="16B56182" w:rsidR="00010E92" w:rsidRPr="00787D43" w:rsidRDefault="00483B87" w:rsidP="00227125">
      <w:pPr>
        <w:pStyle w:val="Literatur"/>
      </w:pPr>
      <w:r w:rsidRPr="00787D43">
        <w:t>[2]</w:t>
      </w:r>
      <w:r w:rsidRPr="00787D43">
        <w:tab/>
      </w:r>
      <w:r w:rsidR="00C73346" w:rsidRPr="00787D43">
        <w:t xml:space="preserve">Martin Baumann; Günter </w:t>
      </w:r>
      <w:proofErr w:type="spellStart"/>
      <w:r w:rsidR="00C73346" w:rsidRPr="00787D43">
        <w:t>Pauritsch</w:t>
      </w:r>
      <w:proofErr w:type="spellEnd"/>
      <w:r w:rsidR="00C73346" w:rsidRPr="00787D43">
        <w:t xml:space="preserve">; Michael Rohre: Roadmap zur Dekarbonisierung der Fernwärme in Österreich; Wien, Juni 2020; </w:t>
      </w:r>
      <w:hyperlink r:id="rId9" w:history="1">
        <w:r w:rsidR="00C709BE" w:rsidRPr="00B836E7">
          <w:rPr>
            <w:rStyle w:val="Hyperlink"/>
          </w:rPr>
          <w:t>https://www.gaswaerme.at/media/medialibrary/2020/07/FGW-Roadmap-Endbericht-2020-06-30-Finale_Fassung.pdf</w:t>
        </w:r>
      </w:hyperlink>
      <w:r w:rsidR="00C709BE">
        <w:t xml:space="preserve"> </w:t>
      </w:r>
      <w:r w:rsidR="00C73346" w:rsidRPr="00787D43">
        <w:t xml:space="preserve"> </w:t>
      </w:r>
    </w:p>
    <w:p w14:paraId="2CAAF970" w14:textId="6CF3E285" w:rsidR="00E14097" w:rsidRDefault="00E14097" w:rsidP="00227125">
      <w:pPr>
        <w:pStyle w:val="Literatur"/>
      </w:pPr>
      <w:r w:rsidRPr="00787D43">
        <w:t>[3]</w:t>
      </w:r>
      <w:r w:rsidR="00F32D77" w:rsidRPr="00787D43">
        <w:t xml:space="preserve"> </w:t>
      </w:r>
      <w:r w:rsidRPr="00787D43">
        <w:t xml:space="preserve">Roman Geyer, Sophie </w:t>
      </w:r>
      <w:proofErr w:type="spellStart"/>
      <w:r w:rsidRPr="00787D43">
        <w:t>Knöttner</w:t>
      </w:r>
      <w:proofErr w:type="spellEnd"/>
      <w:r w:rsidRPr="00787D43">
        <w:t xml:space="preserve">, Christian Diendorfer, Gerwin Drexler-Schmid: </w:t>
      </w:r>
      <w:proofErr w:type="spellStart"/>
      <w:r w:rsidRPr="00787D43">
        <w:t>IndustRiES</w:t>
      </w:r>
      <w:proofErr w:type="spellEnd"/>
      <w:r w:rsidRPr="00787D43">
        <w:t xml:space="preserve"> - Energieinfrastruktur für 100 % Erneuerbare Energie in der Industrie; </w:t>
      </w:r>
      <w:hyperlink r:id="rId10" w:history="1">
        <w:r w:rsidR="00C709BE" w:rsidRPr="00B836E7">
          <w:rPr>
            <w:rStyle w:val="Hyperlink"/>
          </w:rPr>
          <w:t>https://www.klimafonds.gv.at/wp-content/uploads/sites/16/Studie_IndustRiES-2019_neu.pdf</w:t>
        </w:r>
      </w:hyperlink>
      <w:r w:rsidR="00C709BE">
        <w:t xml:space="preserve"> </w:t>
      </w:r>
      <w:r w:rsidR="00F32D77" w:rsidRPr="00787D43">
        <w:t xml:space="preserve"> </w:t>
      </w:r>
    </w:p>
    <w:p w14:paraId="189D5E9C" w14:textId="3EFC8D2A" w:rsidR="00C709BE" w:rsidRPr="00C709BE" w:rsidRDefault="00C709BE" w:rsidP="00C709BE">
      <w:pPr>
        <w:pStyle w:val="Literatur"/>
        <w:rPr>
          <w:lang w:val="en-GB"/>
        </w:rPr>
      </w:pPr>
      <w:r>
        <w:rPr>
          <w:lang w:val="en-GB"/>
        </w:rPr>
        <w:t xml:space="preserve">[4] </w:t>
      </w:r>
      <w:r w:rsidRPr="00C709BE">
        <w:rPr>
          <w:lang w:val="en-GB"/>
        </w:rPr>
        <w:t>Leoni, P.; Geyer, R.; Schmidt, R.-R.: Developing innovative business models for reducing return temperatures in district heating systems: Approach and first results. Energy, Vol. 195, 2020</w:t>
      </w:r>
      <w:r>
        <w:rPr>
          <w:lang w:val="en-GB"/>
        </w:rPr>
        <w:t xml:space="preserve">, </w:t>
      </w:r>
      <w:hyperlink r:id="rId11" w:history="1">
        <w:r w:rsidRPr="00B836E7">
          <w:rPr>
            <w:rStyle w:val="Hyperlink"/>
            <w:lang w:val="en-GB"/>
          </w:rPr>
          <w:t>https://doi.org/10.1016/j.energy.2020.116963</w:t>
        </w:r>
      </w:hyperlink>
      <w:r>
        <w:rPr>
          <w:lang w:val="en-GB"/>
        </w:rPr>
        <w:t xml:space="preserve"> </w:t>
      </w:r>
    </w:p>
    <w:p w14:paraId="78635B6A" w14:textId="620C739B" w:rsidR="00C709BE" w:rsidRPr="00C709BE" w:rsidRDefault="00C709BE" w:rsidP="00C709BE">
      <w:pPr>
        <w:pStyle w:val="Literatur"/>
        <w:rPr>
          <w:lang w:val="en-GB"/>
        </w:rPr>
      </w:pPr>
      <w:r>
        <w:rPr>
          <w:lang w:val="en-GB"/>
        </w:rPr>
        <w:t xml:space="preserve">[5] </w:t>
      </w:r>
      <w:r w:rsidRPr="00C709BE">
        <w:rPr>
          <w:lang w:val="en-GB"/>
        </w:rPr>
        <w:t>Geyer, R.; Krail, J.; Leitner, B.; Schmidt, R.-R.; Leoni, P.: Energy economic assessment of reduced district heating system temperatures. Smart Energy, Vol. 2, 2021</w:t>
      </w:r>
      <w:r>
        <w:rPr>
          <w:lang w:val="en-GB"/>
        </w:rPr>
        <w:t xml:space="preserve">; </w:t>
      </w:r>
      <w:hyperlink r:id="rId12" w:tgtFrame="_blank" w:tooltip="Persistent link using digital object identifier" w:history="1">
        <w:r>
          <w:rPr>
            <w:rStyle w:val="Hyperlink"/>
          </w:rPr>
          <w:t>https://doi.org/10.1016/j.segy.2021.100011</w:t>
        </w:r>
      </w:hyperlink>
      <w:r>
        <w:t xml:space="preserve"> </w:t>
      </w:r>
    </w:p>
    <w:p w14:paraId="3630155B" w14:textId="77777777" w:rsidR="005E4D4F" w:rsidRPr="00C709BE" w:rsidRDefault="005E4D4F" w:rsidP="00227125">
      <w:pPr>
        <w:pStyle w:val="Literatur"/>
        <w:rPr>
          <w:lang w:val="en-GB"/>
        </w:rPr>
      </w:pPr>
    </w:p>
    <w:sectPr w:rsidR="005E4D4F" w:rsidRPr="00C709B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7602A3" w14:textId="77777777" w:rsidR="00CA6334" w:rsidRDefault="00CA6334">
      <w:r>
        <w:separator/>
      </w:r>
    </w:p>
  </w:endnote>
  <w:endnote w:type="continuationSeparator" w:id="0">
    <w:p w14:paraId="35590FD5" w14:textId="77777777" w:rsidR="00CA6334" w:rsidRDefault="00CA6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EDC69D" w14:textId="77777777" w:rsidR="00CA6334" w:rsidRDefault="00CA6334">
      <w:r>
        <w:separator/>
      </w:r>
    </w:p>
  </w:footnote>
  <w:footnote w:type="continuationSeparator" w:id="0">
    <w:p w14:paraId="56E64E33" w14:textId="77777777" w:rsidR="00CA6334" w:rsidRDefault="00CA6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5071F"/>
    <w:multiLevelType w:val="multilevel"/>
    <w:tmpl w:val="0978BA90"/>
    <w:numStyleLink w:val="Aufzhlung"/>
  </w:abstractNum>
  <w:abstractNum w:abstractNumId="1" w15:restartNumberingAfterBreak="0">
    <w:nsid w:val="17567494"/>
    <w:multiLevelType w:val="hybridMultilevel"/>
    <w:tmpl w:val="0978BA90"/>
    <w:lvl w:ilvl="0" w:tplc="085E66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75967"/>
    <w:multiLevelType w:val="multilevel"/>
    <w:tmpl w:val="0978BA90"/>
    <w:numStyleLink w:val="Aufzhlung"/>
  </w:abstractNum>
  <w:abstractNum w:abstractNumId="3" w15:restartNumberingAfterBreak="0">
    <w:nsid w:val="6B5E4F19"/>
    <w:multiLevelType w:val="multilevel"/>
    <w:tmpl w:val="0978BA90"/>
    <w:styleLink w:val="Aufzhlung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BE1D7E"/>
    <w:multiLevelType w:val="hybridMultilevel"/>
    <w:tmpl w:val="3C7E22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K0MDM1NjEzMDQ2NDFX0lEKTi0uzszPAykwrAUAX6v8WSwAAAA="/>
  </w:docVars>
  <w:rsids>
    <w:rsidRoot w:val="005E4D4F"/>
    <w:rsid w:val="00010E92"/>
    <w:rsid w:val="001C1EF1"/>
    <w:rsid w:val="002014D3"/>
    <w:rsid w:val="00227125"/>
    <w:rsid w:val="00262FD5"/>
    <w:rsid w:val="002946B8"/>
    <w:rsid w:val="00350F98"/>
    <w:rsid w:val="0036652E"/>
    <w:rsid w:val="00372E07"/>
    <w:rsid w:val="003B676F"/>
    <w:rsid w:val="003C28FE"/>
    <w:rsid w:val="004003BF"/>
    <w:rsid w:val="00483B87"/>
    <w:rsid w:val="004A3AF4"/>
    <w:rsid w:val="00501E37"/>
    <w:rsid w:val="005B1ADB"/>
    <w:rsid w:val="005E4D4F"/>
    <w:rsid w:val="00662525"/>
    <w:rsid w:val="007378C8"/>
    <w:rsid w:val="00741EC0"/>
    <w:rsid w:val="00787D43"/>
    <w:rsid w:val="00801779"/>
    <w:rsid w:val="00803917"/>
    <w:rsid w:val="008D4574"/>
    <w:rsid w:val="0096087E"/>
    <w:rsid w:val="009B2D78"/>
    <w:rsid w:val="00A07737"/>
    <w:rsid w:val="00A156E4"/>
    <w:rsid w:val="00A6148D"/>
    <w:rsid w:val="00B128E8"/>
    <w:rsid w:val="00BF05FA"/>
    <w:rsid w:val="00C709BE"/>
    <w:rsid w:val="00C73346"/>
    <w:rsid w:val="00CA6334"/>
    <w:rsid w:val="00CE1A70"/>
    <w:rsid w:val="00D53E86"/>
    <w:rsid w:val="00D56406"/>
    <w:rsid w:val="00D736F8"/>
    <w:rsid w:val="00E14097"/>
    <w:rsid w:val="00E520E6"/>
    <w:rsid w:val="00EE12BF"/>
    <w:rsid w:val="00F32D77"/>
    <w:rsid w:val="00FB558B"/>
    <w:rsid w:val="00FB69AE"/>
    <w:rsid w:val="00FD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CF21AA"/>
  <w15:chartTrackingRefBased/>
  <w15:docId w15:val="{59B9B081-1316-4B2C-9D1D-FBDAB8096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27125"/>
    <w:pPr>
      <w:jc w:val="both"/>
    </w:pPr>
    <w:rPr>
      <w:rFonts w:ascii="Arial" w:hAnsi="Arial"/>
      <w:szCs w:val="24"/>
      <w:lang w:eastAsia="ko-K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aliases w:val="Footnote Reference Number,-E Fußnotenzeichen,(Diplomarbeit FZ),(Diplomarbeit FZ)1,(Diplomarbeit FZ)2,(Diplomarbeit FZ)3,(Diplomarbeit FZ)4,(Diplomarbeit FZ)5,(Diplomarbeit FZ)6,(Diplomarbeit FZ)7,(Diplomarbeit FZ)8,(Diplomarbeit FZ)9"/>
    <w:semiHidden/>
    <w:rsid w:val="005E4D4F"/>
    <w:rPr>
      <w:vertAlign w:val="superscript"/>
    </w:rPr>
  </w:style>
  <w:style w:type="paragraph" w:styleId="Titel">
    <w:name w:val="Title"/>
    <w:basedOn w:val="Standard"/>
    <w:link w:val="TitelZchn"/>
    <w:qFormat/>
    <w:rsid w:val="005E4D4F"/>
    <w:pPr>
      <w:pageBreakBefore/>
      <w:spacing w:before="120" w:after="120"/>
      <w:jc w:val="center"/>
    </w:pPr>
    <w:rPr>
      <w:b/>
      <w:snapToGrid w:val="0"/>
      <w:kern w:val="28"/>
      <w:sz w:val="32"/>
      <w:szCs w:val="20"/>
      <w:lang w:eastAsia="en-US"/>
    </w:rPr>
  </w:style>
  <w:style w:type="numbering" w:customStyle="1" w:styleId="Aufzhlung">
    <w:name w:val="Aufzählung"/>
    <w:basedOn w:val="KeineListe"/>
    <w:rsid w:val="00227125"/>
    <w:pPr>
      <w:numPr>
        <w:numId w:val="2"/>
      </w:numPr>
    </w:pPr>
  </w:style>
  <w:style w:type="paragraph" w:customStyle="1" w:styleId="Abbildungsbeschriftung">
    <w:name w:val="Abbildungsbeschriftung"/>
    <w:basedOn w:val="Standard"/>
    <w:rsid w:val="002946B8"/>
    <w:rPr>
      <w:i/>
      <w:iCs/>
    </w:rPr>
  </w:style>
  <w:style w:type="character" w:customStyle="1" w:styleId="TitelZchn">
    <w:name w:val="Titel Zchn"/>
    <w:link w:val="Titel"/>
    <w:rsid w:val="005E4D4F"/>
    <w:rPr>
      <w:rFonts w:ascii="Arial" w:hAnsi="Arial"/>
      <w:b/>
      <w:snapToGrid w:val="0"/>
      <w:kern w:val="28"/>
      <w:sz w:val="32"/>
      <w:lang w:val="de-DE" w:eastAsia="en-US" w:bidi="ar-SA"/>
    </w:rPr>
  </w:style>
  <w:style w:type="paragraph" w:customStyle="1" w:styleId="Ueberschrift">
    <w:name w:val="Ueberschrift"/>
    <w:basedOn w:val="Standard"/>
    <w:link w:val="UeberschriftChar"/>
    <w:rsid w:val="00A07737"/>
    <w:pPr>
      <w:spacing w:before="120" w:after="120"/>
    </w:pPr>
    <w:rPr>
      <w:b/>
      <w:spacing w:val="-5"/>
      <w:sz w:val="22"/>
      <w:lang w:eastAsia="de-DE"/>
    </w:rPr>
  </w:style>
  <w:style w:type="character" w:customStyle="1" w:styleId="UeberschriftChar">
    <w:name w:val="Ueberschrift Char"/>
    <w:link w:val="Ueberschrift"/>
    <w:rsid w:val="00A07737"/>
    <w:rPr>
      <w:rFonts w:ascii="Arial" w:hAnsi="Arial"/>
      <w:b/>
      <w:spacing w:val="-5"/>
      <w:sz w:val="22"/>
      <w:szCs w:val="24"/>
      <w:lang w:val="de-DE" w:eastAsia="de-DE" w:bidi="ar-SA"/>
    </w:rPr>
  </w:style>
  <w:style w:type="paragraph" w:customStyle="1" w:styleId="Abstract-Titel">
    <w:name w:val="Abstract-Titel"/>
    <w:basedOn w:val="Titel"/>
    <w:rsid w:val="005E4D4F"/>
    <w:rPr>
      <w:rFonts w:cs="Arial"/>
    </w:rPr>
  </w:style>
  <w:style w:type="paragraph" w:customStyle="1" w:styleId="AutorenOrganisation">
    <w:name w:val="Autoren &amp; Organisation"/>
    <w:basedOn w:val="Standard"/>
    <w:rsid w:val="00010E92"/>
    <w:pPr>
      <w:tabs>
        <w:tab w:val="left" w:pos="1560"/>
      </w:tabs>
      <w:overflowPunct w:val="0"/>
      <w:autoSpaceDE w:val="0"/>
      <w:autoSpaceDN w:val="0"/>
      <w:adjustRightInd w:val="0"/>
      <w:jc w:val="center"/>
      <w:textAlignment w:val="baseline"/>
    </w:pPr>
    <w:rPr>
      <w:rFonts w:cs="Arial"/>
      <w:color w:val="181512"/>
      <w:spacing w:val="-5"/>
      <w:sz w:val="24"/>
      <w:lang w:val="de-AT" w:eastAsia="de-DE"/>
    </w:rPr>
  </w:style>
  <w:style w:type="paragraph" w:customStyle="1" w:styleId="Literatur">
    <w:name w:val="Literatur"/>
    <w:basedOn w:val="Standard"/>
    <w:rsid w:val="005E4D4F"/>
    <w:pPr>
      <w:ind w:left="284" w:hanging="284"/>
    </w:pPr>
    <w:rPr>
      <w:rFonts w:cs="Arial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03B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003BF"/>
    <w:rPr>
      <w:rFonts w:ascii="Segoe UI" w:hAnsi="Segoe UI" w:cs="Segoe UI"/>
      <w:sz w:val="18"/>
      <w:szCs w:val="18"/>
      <w:lang w:eastAsia="ko-KR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B2D7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B2D78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B2D78"/>
    <w:rPr>
      <w:rFonts w:ascii="Arial" w:hAnsi="Arial"/>
      <w:lang w:eastAsia="ko-KR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B2D7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B2D78"/>
    <w:rPr>
      <w:rFonts w:ascii="Arial" w:hAnsi="Arial"/>
      <w:b/>
      <w:bCs/>
      <w:lang w:eastAsia="ko-KR"/>
    </w:rPr>
  </w:style>
  <w:style w:type="character" w:styleId="Hyperlink">
    <w:name w:val="Hyperlink"/>
    <w:basedOn w:val="Absatz-Standardschriftart"/>
    <w:uiPriority w:val="99"/>
    <w:unhideWhenUsed/>
    <w:rsid w:val="00D5640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564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3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mk.gv.at/dam/jcr:f0bdbaa4-59f2-4bde-9af9-e139f9568769/Energie_in_OE_2020_ua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oi.org/10.1016/j.segy.2021.1000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16/j.energy.2020.11696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klimafonds.gv.at/wp-content/uploads/sites/16/Studie_IndustRiES-2019_neu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aswaerme.at/media/medialibrary/2020/07/FGW-Roadmap-Endbericht-2020-06-30-Finale_Fassung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732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TU-Wien Campuslizenz</Company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subject/>
  <dc:creator>Gerald</dc:creator>
  <cp:keywords/>
  <cp:lastModifiedBy>Schmidt Ralf-Roman</cp:lastModifiedBy>
  <cp:revision>7</cp:revision>
  <dcterms:created xsi:type="dcterms:W3CDTF">2021-06-19T23:11:00Z</dcterms:created>
  <dcterms:modified xsi:type="dcterms:W3CDTF">2021-06-20T00:04:00Z</dcterms:modified>
</cp:coreProperties>
</file>