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92CDC" w14:textId="05D5B97A" w:rsidR="00947E4A" w:rsidRPr="00947E4A" w:rsidRDefault="00947E4A" w:rsidP="00A156E4">
      <w:pPr>
        <w:pStyle w:val="AutorenOrganisation"/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</w:pPr>
      <w:r w:rsidRPr="00947E4A"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 xml:space="preserve">Central and South Eastern Europe </w:t>
      </w:r>
      <w:proofErr w:type="spellStart"/>
      <w:r w:rsidRPr="00947E4A"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>energy</w:t>
      </w:r>
      <w:proofErr w:type="spellEnd"/>
      <w:r w:rsidRPr="00947E4A"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 xml:space="preserve"> </w:t>
      </w:r>
      <w:proofErr w:type="spellStart"/>
      <w:r w:rsidRPr="00947E4A"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>connectivity</w:t>
      </w:r>
      <w:proofErr w:type="spellEnd"/>
      <w:r w:rsidRPr="00947E4A"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 xml:space="preserve"> (CESEC)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 xml:space="preserve"> Zusammenarbeit </w:t>
      </w:r>
      <w:r w:rsidRPr="00947E4A"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 xml:space="preserve">bei der 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 xml:space="preserve">Integration von </w:t>
      </w:r>
      <w:r w:rsidRPr="00947E4A"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>erneuerbaren Energien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br/>
      </w:r>
    </w:p>
    <w:p w14:paraId="73660C80" w14:textId="2CFA79C5" w:rsidR="00947E4A" w:rsidRDefault="00947E4A" w:rsidP="00947E4A">
      <w:pPr>
        <w:pStyle w:val="AutorenOrganisation"/>
        <w:numPr>
          <w:ilvl w:val="0"/>
          <w:numId w:val="5"/>
        </w:numPr>
      </w:pPr>
      <w:r w:rsidRPr="00947E4A">
        <w:t xml:space="preserve">Energie- / Klimapolitik </w:t>
      </w:r>
    </w:p>
    <w:p w14:paraId="4DB999FB" w14:textId="77777777" w:rsidR="0093428E" w:rsidRPr="006319C8" w:rsidRDefault="0093428E" w:rsidP="0093428E">
      <w:pPr>
        <w:pStyle w:val="AutorenOrganisation"/>
        <w:numPr>
          <w:ilvl w:val="0"/>
          <w:numId w:val="5"/>
        </w:numPr>
      </w:pPr>
      <w:r w:rsidRPr="006319C8">
        <w:t>Lukas LIEBMANN</w:t>
      </w:r>
      <w:r w:rsidRPr="006319C8">
        <w:rPr>
          <w:vertAlign w:val="superscript"/>
        </w:rPr>
        <w:footnoteReference w:id="1"/>
      </w:r>
      <w:r w:rsidRPr="006319C8">
        <w:t>, Gustav RESCH</w:t>
      </w:r>
      <w:r w:rsidRPr="006319C8">
        <w:rPr>
          <w:rStyle w:val="Funotenzeichen"/>
        </w:rPr>
        <w:footnoteReference w:id="2"/>
      </w:r>
    </w:p>
    <w:p w14:paraId="64550594" w14:textId="77777777" w:rsidR="0093428E" w:rsidRPr="006319C8" w:rsidRDefault="0093428E" w:rsidP="0093428E">
      <w:pPr>
        <w:pStyle w:val="AutorenOrganisation"/>
        <w:numPr>
          <w:ilvl w:val="0"/>
          <w:numId w:val="5"/>
        </w:numPr>
      </w:pPr>
      <w:r w:rsidRPr="006319C8">
        <w:t>EEG TU-Wien</w:t>
      </w:r>
    </w:p>
    <w:p w14:paraId="3E527F66" w14:textId="77777777" w:rsidR="00A07737" w:rsidRPr="005E4D4F" w:rsidRDefault="00A07737" w:rsidP="00FB69AE">
      <w:pPr>
        <w:rPr>
          <w:lang w:val="de-AT"/>
        </w:rPr>
      </w:pPr>
    </w:p>
    <w:p w14:paraId="7DEE44C4" w14:textId="77777777"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14:paraId="5A3B3A9D" w14:textId="5E1D1480" w:rsidR="005E4D4F" w:rsidRPr="005E4D4F" w:rsidRDefault="0093428E" w:rsidP="00227125">
      <w:r>
        <w:t xml:space="preserve">Die Studie </w:t>
      </w:r>
      <w:r w:rsidRPr="0093428E">
        <w:t xml:space="preserve">“Study on </w:t>
      </w:r>
      <w:proofErr w:type="spellStart"/>
      <w:r w:rsidRPr="0093428E">
        <w:t>the</w:t>
      </w:r>
      <w:proofErr w:type="spellEnd"/>
      <w:r w:rsidRPr="0093428E">
        <w:t xml:space="preserve"> Central and South Eastern Europe </w:t>
      </w:r>
      <w:proofErr w:type="spellStart"/>
      <w:r w:rsidRPr="0093428E">
        <w:t>energy</w:t>
      </w:r>
      <w:proofErr w:type="spellEnd"/>
      <w:r w:rsidRPr="0093428E">
        <w:t xml:space="preserve"> </w:t>
      </w:r>
      <w:proofErr w:type="spellStart"/>
      <w:r w:rsidRPr="0093428E">
        <w:t>connectivity</w:t>
      </w:r>
      <w:proofErr w:type="spellEnd"/>
      <w:r w:rsidRPr="0093428E">
        <w:t xml:space="preserve"> (CESEC) </w:t>
      </w:r>
      <w:proofErr w:type="spellStart"/>
      <w:r w:rsidRPr="0093428E">
        <w:t>cooperation</w:t>
      </w:r>
      <w:proofErr w:type="spellEnd"/>
      <w:r w:rsidRPr="0093428E">
        <w:t xml:space="preserve"> on </w:t>
      </w:r>
      <w:proofErr w:type="spellStart"/>
      <w:r w:rsidRPr="0093428E">
        <w:t>electricity</w:t>
      </w:r>
      <w:proofErr w:type="spellEnd"/>
      <w:r w:rsidRPr="0093428E">
        <w:t xml:space="preserve"> </w:t>
      </w:r>
      <w:proofErr w:type="spellStart"/>
      <w:r w:rsidRPr="0093428E">
        <w:t>grid</w:t>
      </w:r>
      <w:proofErr w:type="spellEnd"/>
      <w:r w:rsidRPr="0093428E">
        <w:t xml:space="preserve"> </w:t>
      </w:r>
      <w:proofErr w:type="spellStart"/>
      <w:r w:rsidRPr="0093428E">
        <w:t>development</w:t>
      </w:r>
      <w:proofErr w:type="spellEnd"/>
      <w:r w:rsidRPr="0093428E">
        <w:t xml:space="preserve"> and </w:t>
      </w:r>
      <w:proofErr w:type="spellStart"/>
      <w:r w:rsidRPr="0093428E">
        <w:t>renewables</w:t>
      </w:r>
      <w:proofErr w:type="spellEnd"/>
      <w:r w:rsidRPr="0093428E">
        <w:t xml:space="preserve">” </w:t>
      </w:r>
      <w:r w:rsidR="000043AE">
        <w:t xml:space="preserve">[1] </w:t>
      </w:r>
      <w:r>
        <w:t>hat das Ziel e</w:t>
      </w:r>
      <w:r w:rsidRPr="0093428E">
        <w:t xml:space="preserve">rhebliche und praktische Beiträge zur Erleichterung der Integration erneuerbarer Energiequellen (RES) in der CESEC-Region </w:t>
      </w:r>
      <w:r>
        <w:t xml:space="preserve">zu </w:t>
      </w:r>
      <w:r w:rsidRPr="0093428E">
        <w:t>leisten</w:t>
      </w:r>
      <w:r>
        <w:t xml:space="preserve">. Im speziellen </w:t>
      </w:r>
      <w:r w:rsidRPr="0093428E">
        <w:t>Erneuerbare Energiezonen mit dem höchsten Potenzial und grenzüberschreitender Dim</w:t>
      </w:r>
      <w:r>
        <w:t>ension festzustellen.</w:t>
      </w:r>
    </w:p>
    <w:p w14:paraId="2D4480AA" w14:textId="77777777" w:rsidR="005E4D4F" w:rsidRPr="005E4D4F" w:rsidRDefault="005E4D4F" w:rsidP="005E4D4F">
      <w:pPr>
        <w:pStyle w:val="Ueberschrift"/>
      </w:pPr>
      <w:r w:rsidRPr="005E4D4F">
        <w:t>Methodische Vorgangsweise</w:t>
      </w:r>
    </w:p>
    <w:p w14:paraId="46C97806" w14:textId="1FC2EF17" w:rsidR="00AA723B" w:rsidRPr="00AA723B" w:rsidRDefault="00AA723B" w:rsidP="00AA723B">
      <w:pPr>
        <w:pStyle w:val="Ueberschrift"/>
        <w:rPr>
          <w:b w:val="0"/>
          <w:spacing w:val="0"/>
          <w:sz w:val="20"/>
          <w:lang w:eastAsia="ko-KR"/>
        </w:rPr>
      </w:pPr>
      <w:r>
        <w:rPr>
          <w:b w:val="0"/>
          <w:spacing w:val="0"/>
          <w:sz w:val="20"/>
          <w:lang w:eastAsia="ko-KR"/>
        </w:rPr>
        <w:t>Das Methodische Vorgehen war e</w:t>
      </w:r>
      <w:r w:rsidR="0093428E" w:rsidRPr="0093428E">
        <w:rPr>
          <w:b w:val="0"/>
          <w:spacing w:val="0"/>
          <w:sz w:val="20"/>
          <w:lang w:eastAsia="ko-KR"/>
        </w:rPr>
        <w:t xml:space="preserve">ine umfassende Literaturrecherche als Grundlage </w:t>
      </w:r>
      <w:r w:rsidR="0093428E">
        <w:rPr>
          <w:b w:val="0"/>
          <w:spacing w:val="0"/>
          <w:sz w:val="20"/>
          <w:lang w:eastAsia="ko-KR"/>
        </w:rPr>
        <w:t>e</w:t>
      </w:r>
      <w:r w:rsidR="0093428E" w:rsidRPr="0093428E">
        <w:rPr>
          <w:b w:val="0"/>
          <w:spacing w:val="0"/>
          <w:sz w:val="20"/>
          <w:lang w:eastAsia="ko-KR"/>
        </w:rPr>
        <w:t>rgänzt durch eine eigene GIS-basierte Analyse für Solar- und Windenergie anhand von meteorologischen und Landnutzungsdaten unter Berücksichtigung von z.B. Abstandsregeln und Umweltauflagen für Windenergie</w:t>
      </w:r>
      <w:r>
        <w:rPr>
          <w:b w:val="0"/>
          <w:spacing w:val="0"/>
          <w:sz w:val="20"/>
          <w:lang w:eastAsia="ko-KR"/>
        </w:rPr>
        <w:t>. Weiters z</w:t>
      </w:r>
      <w:r w:rsidRPr="00AA723B">
        <w:rPr>
          <w:b w:val="0"/>
          <w:spacing w:val="0"/>
          <w:sz w:val="20"/>
          <w:lang w:eastAsia="ko-KR"/>
        </w:rPr>
        <w:t xml:space="preserve">wei </w:t>
      </w:r>
      <w:proofErr w:type="spellStart"/>
      <w:r w:rsidRPr="00AA723B">
        <w:rPr>
          <w:b w:val="0"/>
          <w:spacing w:val="0"/>
          <w:sz w:val="20"/>
          <w:lang w:eastAsia="ko-KR"/>
        </w:rPr>
        <w:t>Szenarienpaare</w:t>
      </w:r>
      <w:proofErr w:type="spellEnd"/>
      <w:r w:rsidRPr="00AA723B">
        <w:rPr>
          <w:b w:val="0"/>
          <w:spacing w:val="0"/>
          <w:sz w:val="20"/>
          <w:lang w:eastAsia="ko-KR"/>
        </w:rPr>
        <w:t xml:space="preserve"> für die Nutzung erneuerbarer Energien bis 2050:</w:t>
      </w:r>
    </w:p>
    <w:p w14:paraId="3A0E4789" w14:textId="51421593" w:rsidR="00AA723B" w:rsidRPr="00AA723B" w:rsidRDefault="00AA723B" w:rsidP="00AA723B">
      <w:pPr>
        <w:pStyle w:val="Ueberschrift"/>
        <w:rPr>
          <w:b w:val="0"/>
          <w:spacing w:val="0"/>
          <w:sz w:val="20"/>
          <w:lang w:eastAsia="ko-KR"/>
        </w:rPr>
      </w:pPr>
      <w:r w:rsidRPr="00AA723B">
        <w:rPr>
          <w:b w:val="0"/>
          <w:spacing w:val="0"/>
          <w:sz w:val="20"/>
          <w:lang w:eastAsia="ko-KR"/>
        </w:rPr>
        <w:t>Referenz-</w:t>
      </w:r>
      <w:r>
        <w:rPr>
          <w:b w:val="0"/>
          <w:spacing w:val="0"/>
          <w:sz w:val="20"/>
          <w:lang w:eastAsia="ko-KR"/>
        </w:rPr>
        <w:t>RES</w:t>
      </w:r>
      <w:r w:rsidRPr="00AA723B">
        <w:rPr>
          <w:b w:val="0"/>
          <w:spacing w:val="0"/>
          <w:sz w:val="20"/>
          <w:lang w:eastAsia="ko-KR"/>
        </w:rPr>
        <w:t>-Szenarien (</w:t>
      </w:r>
      <w:proofErr w:type="spellStart"/>
      <w:r w:rsidRPr="00AA723B">
        <w:rPr>
          <w:b w:val="0"/>
          <w:spacing w:val="0"/>
          <w:sz w:val="20"/>
          <w:lang w:eastAsia="ko-KR"/>
        </w:rPr>
        <w:t>RefRES</w:t>
      </w:r>
      <w:proofErr w:type="spellEnd"/>
      <w:r w:rsidRPr="00AA723B">
        <w:rPr>
          <w:b w:val="0"/>
          <w:spacing w:val="0"/>
          <w:sz w:val="20"/>
          <w:lang w:eastAsia="ko-KR"/>
        </w:rPr>
        <w:t>): gemäß nationaler Planung (Nat</w:t>
      </w:r>
      <w:bookmarkStart w:id="0" w:name="_GoBack"/>
      <w:bookmarkEnd w:id="0"/>
      <w:r w:rsidRPr="00AA723B">
        <w:rPr>
          <w:b w:val="0"/>
          <w:spacing w:val="0"/>
          <w:sz w:val="20"/>
          <w:lang w:eastAsia="ko-KR"/>
        </w:rPr>
        <w:t>ionale Energie- und Klimapläne oder alternative Quellen</w:t>
      </w:r>
      <w:r w:rsidR="00645112">
        <w:rPr>
          <w:b w:val="0"/>
          <w:spacing w:val="0"/>
          <w:sz w:val="20"/>
          <w:lang w:eastAsia="ko-KR"/>
        </w:rPr>
        <w:t>, falls erstgenannte nicht verfügbar</w:t>
      </w:r>
      <w:r w:rsidRPr="00AA723B">
        <w:rPr>
          <w:b w:val="0"/>
          <w:spacing w:val="0"/>
          <w:sz w:val="20"/>
          <w:lang w:eastAsia="ko-KR"/>
        </w:rPr>
        <w:t>)</w:t>
      </w:r>
    </w:p>
    <w:p w14:paraId="7F7585D2" w14:textId="44C00A5F" w:rsidR="00AA723B" w:rsidRDefault="00AA723B" w:rsidP="00AA723B">
      <w:pPr>
        <w:pStyle w:val="Ueberschrift"/>
        <w:rPr>
          <w:b w:val="0"/>
          <w:spacing w:val="0"/>
          <w:sz w:val="20"/>
          <w:lang w:eastAsia="ko-KR"/>
        </w:rPr>
      </w:pPr>
      <w:r w:rsidRPr="00AA723B">
        <w:rPr>
          <w:b w:val="0"/>
          <w:spacing w:val="0"/>
          <w:sz w:val="20"/>
          <w:lang w:eastAsia="ko-KR"/>
        </w:rPr>
        <w:t>High-RES-Szenarien (</w:t>
      </w:r>
      <w:proofErr w:type="spellStart"/>
      <w:r w:rsidRPr="00AA723B">
        <w:rPr>
          <w:b w:val="0"/>
          <w:spacing w:val="0"/>
          <w:sz w:val="20"/>
          <w:lang w:eastAsia="ko-KR"/>
        </w:rPr>
        <w:t>HighRES</w:t>
      </w:r>
      <w:proofErr w:type="spellEnd"/>
      <w:r w:rsidRPr="00AA723B">
        <w:rPr>
          <w:b w:val="0"/>
          <w:spacing w:val="0"/>
          <w:sz w:val="20"/>
          <w:lang w:eastAsia="ko-KR"/>
        </w:rPr>
        <w:t xml:space="preserve">): Bewertung der Machbarkeit eines höheren RES-Einsatzes in Übereinstimmung mit dem </w:t>
      </w:r>
      <w:proofErr w:type="spellStart"/>
      <w:r w:rsidRPr="00AA723B">
        <w:rPr>
          <w:b w:val="0"/>
          <w:spacing w:val="0"/>
          <w:sz w:val="20"/>
          <w:lang w:eastAsia="ko-KR"/>
        </w:rPr>
        <w:t>Dekarbonisierungsbedarf</w:t>
      </w:r>
      <w:proofErr w:type="spellEnd"/>
      <w:r w:rsidRPr="00AA723B">
        <w:rPr>
          <w:b w:val="0"/>
          <w:spacing w:val="0"/>
          <w:sz w:val="20"/>
          <w:lang w:eastAsia="ko-KR"/>
        </w:rPr>
        <w:t xml:space="preserve"> / European Green Deal-Perspektive</w:t>
      </w:r>
    </w:p>
    <w:p w14:paraId="719A339E" w14:textId="1FE0CA72" w:rsidR="00AA723B" w:rsidRPr="00AA723B" w:rsidRDefault="00AA723B" w:rsidP="00AA723B">
      <w:pPr>
        <w:pStyle w:val="Ueberschrift"/>
        <w:rPr>
          <w:b w:val="0"/>
          <w:spacing w:val="0"/>
          <w:sz w:val="20"/>
          <w:lang w:eastAsia="ko-KR"/>
        </w:rPr>
      </w:pPr>
      <w:r w:rsidRPr="00AA723B">
        <w:rPr>
          <w:b w:val="0"/>
          <w:spacing w:val="0"/>
          <w:sz w:val="20"/>
          <w:lang w:eastAsia="ko-KR"/>
        </w:rPr>
        <w:t xml:space="preserve">Beide Szenarien werden </w:t>
      </w:r>
      <w:r>
        <w:rPr>
          <w:b w:val="0"/>
          <w:spacing w:val="0"/>
          <w:sz w:val="20"/>
          <w:lang w:eastAsia="ko-KR"/>
        </w:rPr>
        <w:t>zweimal modelliert</w:t>
      </w:r>
      <w:r w:rsidRPr="00AA723B">
        <w:rPr>
          <w:b w:val="0"/>
          <w:spacing w:val="0"/>
          <w:sz w:val="20"/>
          <w:lang w:eastAsia="ko-KR"/>
        </w:rPr>
        <w:t>, um die Auswirkungen der grenzüberschreitenden EE-Kooperation zu analysieren:</w:t>
      </w:r>
    </w:p>
    <w:p w14:paraId="43BB20D2" w14:textId="4A4721DB" w:rsidR="00AA723B" w:rsidRPr="00AA723B" w:rsidRDefault="00AA723B" w:rsidP="00AA723B">
      <w:pPr>
        <w:pStyle w:val="Ueberschrift"/>
        <w:numPr>
          <w:ilvl w:val="0"/>
          <w:numId w:val="6"/>
        </w:numPr>
        <w:rPr>
          <w:b w:val="0"/>
          <w:spacing w:val="0"/>
          <w:sz w:val="20"/>
          <w:lang w:eastAsia="ko-KR"/>
        </w:rPr>
      </w:pPr>
      <w:r w:rsidRPr="00AA723B">
        <w:rPr>
          <w:b w:val="0"/>
          <w:spacing w:val="0"/>
          <w:sz w:val="20"/>
          <w:lang w:eastAsia="ko-KR"/>
        </w:rPr>
        <w:t xml:space="preserve">Inländische </w:t>
      </w:r>
      <w:r>
        <w:rPr>
          <w:b w:val="0"/>
          <w:spacing w:val="0"/>
          <w:sz w:val="20"/>
          <w:lang w:eastAsia="ko-KR"/>
        </w:rPr>
        <w:t>RES</w:t>
      </w:r>
      <w:r w:rsidRPr="00AA723B">
        <w:rPr>
          <w:b w:val="0"/>
          <w:spacing w:val="0"/>
          <w:sz w:val="20"/>
          <w:lang w:eastAsia="ko-KR"/>
        </w:rPr>
        <w:t>-Zielerfüllung (-</w:t>
      </w:r>
      <w:proofErr w:type="spellStart"/>
      <w:r w:rsidRPr="00AA723B">
        <w:rPr>
          <w:b w:val="0"/>
          <w:spacing w:val="0"/>
          <w:sz w:val="20"/>
          <w:lang w:eastAsia="ko-KR"/>
        </w:rPr>
        <w:t>NoCoop</w:t>
      </w:r>
      <w:proofErr w:type="spellEnd"/>
      <w:r w:rsidRPr="00AA723B">
        <w:rPr>
          <w:b w:val="0"/>
          <w:spacing w:val="0"/>
          <w:sz w:val="20"/>
          <w:lang w:eastAsia="ko-KR"/>
        </w:rPr>
        <w:t>): Fokus auf Nutzung inländischer Ressourcen</w:t>
      </w:r>
    </w:p>
    <w:p w14:paraId="165AB4AF" w14:textId="7CE6EBD5" w:rsidR="00AA723B" w:rsidRDefault="00AA723B" w:rsidP="00AA723B">
      <w:pPr>
        <w:pStyle w:val="Ueberschrift"/>
        <w:numPr>
          <w:ilvl w:val="0"/>
          <w:numId w:val="6"/>
        </w:numPr>
        <w:rPr>
          <w:b w:val="0"/>
          <w:spacing w:val="0"/>
          <w:sz w:val="20"/>
          <w:lang w:eastAsia="ko-KR"/>
        </w:rPr>
      </w:pPr>
      <w:r w:rsidRPr="00AA723B">
        <w:rPr>
          <w:b w:val="0"/>
          <w:spacing w:val="0"/>
          <w:sz w:val="20"/>
          <w:lang w:eastAsia="ko-KR"/>
        </w:rPr>
        <w:t>Mit (vollständiger) RES-Kooperation in der gesamten CESEC-Region (-Coop): ein regionaler, kostengünstiger Ansatz innerhalb der CESEC-Region.</w:t>
      </w:r>
    </w:p>
    <w:p w14:paraId="6C4F020A" w14:textId="77777777" w:rsidR="005E0D18" w:rsidRDefault="005E0D18">
      <w:pPr>
        <w:jc w:val="left"/>
        <w:rPr>
          <w:b/>
          <w:spacing w:val="-5"/>
          <w:sz w:val="22"/>
          <w:lang w:eastAsia="de-DE"/>
        </w:rPr>
      </w:pPr>
      <w:r>
        <w:br w:type="page"/>
      </w:r>
    </w:p>
    <w:p w14:paraId="3FBC1F49" w14:textId="090DAA68" w:rsidR="005E4D4F" w:rsidRDefault="005E4D4F" w:rsidP="0093428E">
      <w:pPr>
        <w:pStyle w:val="Ueberschrift"/>
      </w:pPr>
      <w:r w:rsidRPr="005E4D4F">
        <w:lastRenderedPageBreak/>
        <w:t>Ergebnisse und Schlussfolgerungen</w:t>
      </w:r>
    </w:p>
    <w:p w14:paraId="0A0DA31E" w14:textId="77777777" w:rsidR="00E46BA3" w:rsidRDefault="00E46BA3" w:rsidP="00E46BA3">
      <w:pPr>
        <w:pStyle w:val="Ueberschrift"/>
        <w:keepNext/>
      </w:pPr>
      <w:r w:rsidRPr="00E46BA3">
        <w:drawing>
          <wp:inline distT="0" distB="0" distL="0" distR="0" wp14:anchorId="2A429D93" wp14:editId="060AD8C7">
            <wp:extent cx="4198852" cy="4638675"/>
            <wp:effectExtent l="19050" t="19050" r="11430" b="9525"/>
            <wp:docPr id="4" name="Grafik 3">
              <a:extLst xmlns:a="http://schemas.openxmlformats.org/drawingml/2006/main">
                <a:ext uri="{FF2B5EF4-FFF2-40B4-BE49-F238E27FC236}">
                  <a16:creationId xmlns:a16="http://schemas.microsoft.com/office/drawing/2014/main" id="{0AE63AA8-DD97-4B12-A634-E0B91EC049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>
                      <a:extLst>
                        <a:ext uri="{FF2B5EF4-FFF2-40B4-BE49-F238E27FC236}">
                          <a16:creationId xmlns:a16="http://schemas.microsoft.com/office/drawing/2014/main" id="{0AE63AA8-DD97-4B12-A634-E0B91EC049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880" cy="46442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4F7FFE7" w14:textId="3E5401EF" w:rsidR="00E46BA3" w:rsidRPr="005E4D4F" w:rsidRDefault="00E46BA3" w:rsidP="00E46BA3">
      <w:pPr>
        <w:pStyle w:val="Beschriftung"/>
      </w:pPr>
      <w:r>
        <w:t xml:space="preserve">Darstellung </w:t>
      </w:r>
      <w:fldSimple w:instr=" SEQ Darstellung \* ARABIC ">
        <w:r>
          <w:rPr>
            <w:noProof/>
          </w:rPr>
          <w:t>1</w:t>
        </w:r>
      </w:fldSimple>
      <w:r>
        <w:t xml:space="preserve">: </w:t>
      </w:r>
      <w:r w:rsidRPr="00E46BA3">
        <w:t>Identifizierung vielversprechender grenzüberschreitender RES-Projekte in der CESEC-Region</w:t>
      </w:r>
      <w:r>
        <w:t xml:space="preserve"> [1]</w:t>
      </w:r>
    </w:p>
    <w:p w14:paraId="39A92E1A" w14:textId="12032231" w:rsidR="002946B8" w:rsidRPr="00803917" w:rsidRDefault="00AA723B" w:rsidP="00AA723B">
      <w:r>
        <w:t xml:space="preserve">Die Analyse für die CESEC-Region zeigt die geplante massive Energiewende: Erneuerbare Energien werden voraussichtlich in Zukunft die Stromversorgung dominieren. Photovoltaik ist bereits heute und </w:t>
      </w:r>
      <w:r w:rsidR="007C34B2">
        <w:t xml:space="preserve">bleibt sehr wahrscheinlich </w:t>
      </w:r>
      <w:r>
        <w:t xml:space="preserve">in Zukunft eine Schlüsseltechnologie, die auf lokaler Ebene ein vielversprechendes Erzeugungsvermögen darstellt. Es </w:t>
      </w:r>
      <w:r w:rsidR="007F2D19">
        <w:t>wird</w:t>
      </w:r>
      <w:r>
        <w:t xml:space="preserve"> eine </w:t>
      </w:r>
      <w:r w:rsidRPr="00AA723B">
        <w:t>erweiterte geografische Verteilung von RES-Anlagen</w:t>
      </w:r>
      <w:r w:rsidR="007F2D19">
        <w:t xml:space="preserve"> folgen</w:t>
      </w:r>
      <w:r>
        <w:t>. Wenn bestimmte Gebiete auch für andere RES-Schlüsseltechnologien (</w:t>
      </w:r>
      <w:proofErr w:type="spellStart"/>
      <w:r>
        <w:t>Onshore</w:t>
      </w:r>
      <w:proofErr w:type="spellEnd"/>
      <w:r>
        <w:t xml:space="preserve">-Wind) wirtschaftlich tragfähige Potenziale bieten, steigt die Leistungsdichte deutlich an. Aus der Kombination von Photovoltaik und Windenergie auf regionaler Ebene </w:t>
      </w:r>
      <w:r w:rsidR="000043AE">
        <w:t xml:space="preserve">konnten Regionen mit den </w:t>
      </w:r>
      <w:r>
        <w:t>vielversprechendsten Standortbedingungen</w:t>
      </w:r>
      <w:r w:rsidR="000043AE">
        <w:t xml:space="preserve"> bestimmt werden</w:t>
      </w:r>
      <w:r w:rsidR="00E46BA3">
        <w:t xml:space="preserve"> (siehe Darstellung 1)</w:t>
      </w:r>
      <w:r w:rsidR="000043AE">
        <w:t xml:space="preserve">. Diese </w:t>
      </w:r>
      <w:r w:rsidR="00E46BA3">
        <w:t>dienen</w:t>
      </w:r>
      <w:r w:rsidR="000043AE">
        <w:t xml:space="preserve"> als</w:t>
      </w:r>
      <w:r>
        <w:t xml:space="preserve"> Grundlage für die weitere </w:t>
      </w:r>
      <w:r w:rsidR="000043AE">
        <w:t>Analysre</w:t>
      </w:r>
      <w:r>
        <w:t xml:space="preserve"> von Cross-Border RES</w:t>
      </w:r>
      <w:r w:rsidR="000043AE">
        <w:t xml:space="preserve"> Projekten</w:t>
      </w:r>
      <w:r>
        <w:t xml:space="preserve"> und</w:t>
      </w:r>
      <w:r w:rsidR="000043AE">
        <w:t xml:space="preserve"> in Zukunft notwendige</w:t>
      </w:r>
      <w:r w:rsidR="00E46BA3">
        <w:t>r</w:t>
      </w:r>
      <w:r>
        <w:t xml:space="preserve"> Infrastrukturkooperatione</w:t>
      </w:r>
      <w:r w:rsidR="000043AE">
        <w:t>n.</w:t>
      </w:r>
    </w:p>
    <w:p w14:paraId="2A5A639A" w14:textId="77777777" w:rsidR="005E4D4F" w:rsidRPr="00E46BA3" w:rsidRDefault="005E4D4F" w:rsidP="00A156E4">
      <w:pPr>
        <w:pStyle w:val="Ueberschrift"/>
      </w:pPr>
      <w:bookmarkStart w:id="1" w:name="_Toc26086066"/>
      <w:bookmarkStart w:id="2" w:name="_Toc68418491"/>
      <w:r w:rsidRPr="00E46BA3">
        <w:t>Literatur</w:t>
      </w:r>
      <w:bookmarkEnd w:id="1"/>
      <w:bookmarkEnd w:id="2"/>
    </w:p>
    <w:p w14:paraId="68ABE1B6" w14:textId="18E8A8CF" w:rsidR="005E4D4F" w:rsidRPr="000043AE" w:rsidRDefault="00483B87" w:rsidP="000043AE">
      <w:pPr>
        <w:pStyle w:val="Literatur"/>
        <w:rPr>
          <w:lang w:val="en-US"/>
        </w:rPr>
      </w:pPr>
      <w:r w:rsidRPr="000043AE">
        <w:rPr>
          <w:lang w:val="en-US"/>
        </w:rPr>
        <w:t>[1]</w:t>
      </w:r>
      <w:r w:rsidRPr="000043AE">
        <w:rPr>
          <w:lang w:val="en-US"/>
        </w:rPr>
        <w:tab/>
      </w:r>
      <w:proofErr w:type="spellStart"/>
      <w:r w:rsidR="000043AE" w:rsidRPr="000043AE">
        <w:rPr>
          <w:lang w:val="en-US"/>
        </w:rPr>
        <w:t>Ecorys</w:t>
      </w:r>
      <w:proofErr w:type="spellEnd"/>
      <w:r w:rsidR="000043AE" w:rsidRPr="000043AE">
        <w:rPr>
          <w:lang w:val="en-US"/>
        </w:rPr>
        <w:t xml:space="preserve"> (2021), Study on the Central and South Eastern Europe energy connectivity (CESEC) cooperation on electricity grid development and renewables</w:t>
      </w:r>
      <w:r w:rsidR="000043AE">
        <w:rPr>
          <w:lang w:val="en-US"/>
        </w:rPr>
        <w:t xml:space="preserve">, </w:t>
      </w:r>
      <w:r w:rsidR="000043AE" w:rsidRPr="000043AE">
        <w:rPr>
          <w:lang w:val="en-US"/>
        </w:rPr>
        <w:t>Draft final report</w:t>
      </w:r>
      <w:r w:rsidR="000043AE">
        <w:rPr>
          <w:lang w:val="en-US"/>
        </w:rPr>
        <w:t xml:space="preserve">, </w:t>
      </w:r>
      <w:r w:rsidR="000043AE" w:rsidRPr="000043AE">
        <w:rPr>
          <w:lang w:val="en-US"/>
        </w:rPr>
        <w:t>Client: European Commission, Directorate-General for Energy</w:t>
      </w:r>
      <w:r w:rsidR="000043AE">
        <w:rPr>
          <w:lang w:val="en-US"/>
        </w:rPr>
        <w:t xml:space="preserve">, </w:t>
      </w:r>
      <w:r w:rsidR="000043AE" w:rsidRPr="000043AE">
        <w:rPr>
          <w:lang w:val="en-US"/>
        </w:rPr>
        <w:t>Rotterdam, 1 September 2021</w:t>
      </w:r>
    </w:p>
    <w:p w14:paraId="62639E2C" w14:textId="77777777" w:rsidR="005E4D4F" w:rsidRPr="000043AE" w:rsidRDefault="005E4D4F" w:rsidP="00227125">
      <w:pPr>
        <w:pStyle w:val="Literatur"/>
        <w:rPr>
          <w:lang w:val="en-US"/>
        </w:rPr>
      </w:pPr>
    </w:p>
    <w:sectPr w:rsidR="005E4D4F" w:rsidRPr="000043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5DA4C" w14:textId="77777777" w:rsidR="00D92A32" w:rsidRDefault="00D92A32">
      <w:r>
        <w:separator/>
      </w:r>
    </w:p>
  </w:endnote>
  <w:endnote w:type="continuationSeparator" w:id="0">
    <w:p w14:paraId="25E9EA48" w14:textId="77777777" w:rsidR="00D92A32" w:rsidRDefault="00D9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2AF7C" w14:textId="77777777" w:rsidR="00D92A32" w:rsidRDefault="00D92A32">
      <w:r>
        <w:separator/>
      </w:r>
    </w:p>
  </w:footnote>
  <w:footnote w:type="continuationSeparator" w:id="0">
    <w:p w14:paraId="469DCF88" w14:textId="77777777" w:rsidR="00D92A32" w:rsidRDefault="00D92A32">
      <w:r>
        <w:continuationSeparator/>
      </w:r>
    </w:p>
  </w:footnote>
  <w:footnote w:id="1">
    <w:p w14:paraId="2CC3DEFA" w14:textId="77777777" w:rsidR="0093428E" w:rsidRPr="00EB0D6A" w:rsidRDefault="0093428E" w:rsidP="0093428E">
      <w:pPr>
        <w:jc w:val="left"/>
        <w:rPr>
          <w:lang w:val="de-AT"/>
        </w:rPr>
      </w:pPr>
      <w:r w:rsidRPr="00A115D2">
        <w:rPr>
          <w:rStyle w:val="Funotenzeichen"/>
        </w:rPr>
        <w:footnoteRef/>
      </w:r>
      <w:r w:rsidRPr="00D53E86">
        <w:t xml:space="preserve"> </w:t>
      </w:r>
      <w:proofErr w:type="spellStart"/>
      <w:r>
        <w:t>Gußhausstraße</w:t>
      </w:r>
      <w:proofErr w:type="spellEnd"/>
      <w:r>
        <w:t xml:space="preserve"> 25-29/370-3 1040 Wien, </w:t>
      </w:r>
      <w:r>
        <w:rPr>
          <w:lang w:val="de-AT"/>
        </w:rPr>
        <w:t>Österreich</w:t>
      </w:r>
      <w:r w:rsidRPr="00EB0D6A">
        <w:rPr>
          <w:lang w:val="de-AT"/>
        </w:rPr>
        <w:t xml:space="preserve">, </w:t>
      </w:r>
      <w:r>
        <w:rPr>
          <w:lang w:val="de-AT"/>
        </w:rPr>
        <w:t>+43 1 58801 370355</w:t>
      </w:r>
      <w:r w:rsidRPr="00EB0D6A">
        <w:rPr>
          <w:lang w:val="de-AT"/>
        </w:rPr>
        <w:t xml:space="preserve">, </w:t>
      </w:r>
      <w:hyperlink r:id="rId1" w:history="1">
        <w:r w:rsidRPr="00EB0D6A">
          <w:rPr>
            <w:rStyle w:val="Hyperlink"/>
            <w:lang w:val="de-AT"/>
          </w:rPr>
          <w:t>liebmann@eeg.tuwien.ac.at</w:t>
        </w:r>
      </w:hyperlink>
      <w:r w:rsidRPr="00EB0D6A">
        <w:rPr>
          <w:lang w:val="de-AT"/>
        </w:rPr>
        <w:t xml:space="preserve">, </w:t>
      </w:r>
      <w:hyperlink r:id="rId2" w:history="1">
        <w:r w:rsidRPr="007D354F">
          <w:rPr>
            <w:rStyle w:val="Hyperlink"/>
            <w:lang w:val="de-AT"/>
          </w:rPr>
          <w:t>http://www.eeg.tuwien.ac.at/</w:t>
        </w:r>
      </w:hyperlink>
    </w:p>
  </w:footnote>
  <w:footnote w:id="2">
    <w:p w14:paraId="714DD8FC" w14:textId="77777777" w:rsidR="0093428E" w:rsidRPr="00EB0D6A" w:rsidRDefault="0093428E" w:rsidP="0093428E">
      <w:pPr>
        <w:pStyle w:val="Funotentext"/>
        <w:jc w:val="lef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Gußhausstraße</w:t>
      </w:r>
      <w:proofErr w:type="spellEnd"/>
      <w:r>
        <w:t xml:space="preserve"> 25-29/370-3 1040 Wien, </w:t>
      </w:r>
      <w:r>
        <w:rPr>
          <w:lang w:val="de-AT"/>
        </w:rPr>
        <w:t>Österreich</w:t>
      </w:r>
      <w:r w:rsidRPr="00EB0D6A">
        <w:rPr>
          <w:lang w:val="de-AT"/>
        </w:rPr>
        <w:t>,</w:t>
      </w:r>
      <w:r>
        <w:rPr>
          <w:lang w:val="de-AT"/>
        </w:rPr>
        <w:t xml:space="preserve"> </w:t>
      </w:r>
      <w:hyperlink r:id="rId3" w:history="1">
        <w:r w:rsidRPr="007D354F">
          <w:rPr>
            <w:rStyle w:val="Hyperlink"/>
            <w:lang w:val="de-AT"/>
          </w:rPr>
          <w:t>resch@eeg.tuwien.ac.at</w:t>
        </w:r>
      </w:hyperlink>
      <w:r>
        <w:rPr>
          <w:lang w:val="de-AT"/>
        </w:rPr>
        <w:t xml:space="preserve">, </w:t>
      </w:r>
      <w:hyperlink r:id="rId4" w:history="1">
        <w:r w:rsidRPr="007D354F">
          <w:rPr>
            <w:rStyle w:val="Hyperlink"/>
            <w:lang w:val="de-AT"/>
          </w:rPr>
          <w:t>http://www.eeg.tuwien.ac.at/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0DC31722"/>
    <w:multiLevelType w:val="hybridMultilevel"/>
    <w:tmpl w:val="48B6F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E4517"/>
    <w:multiLevelType w:val="hybridMultilevel"/>
    <w:tmpl w:val="2BB8812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75967"/>
    <w:multiLevelType w:val="multilevel"/>
    <w:tmpl w:val="0978BA90"/>
    <w:numStyleLink w:val="Aufzhlung"/>
  </w:abstractNum>
  <w:abstractNum w:abstractNumId="5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043AE"/>
    <w:rsid w:val="00010E92"/>
    <w:rsid w:val="00123F01"/>
    <w:rsid w:val="002014D3"/>
    <w:rsid w:val="00227125"/>
    <w:rsid w:val="00262FD5"/>
    <w:rsid w:val="002946B8"/>
    <w:rsid w:val="00350F98"/>
    <w:rsid w:val="0035172B"/>
    <w:rsid w:val="00372E07"/>
    <w:rsid w:val="003B676F"/>
    <w:rsid w:val="003C28FE"/>
    <w:rsid w:val="00435094"/>
    <w:rsid w:val="00483B87"/>
    <w:rsid w:val="005B1ADB"/>
    <w:rsid w:val="005E0D18"/>
    <w:rsid w:val="005E4D4F"/>
    <w:rsid w:val="00645112"/>
    <w:rsid w:val="00662525"/>
    <w:rsid w:val="007378C8"/>
    <w:rsid w:val="00741EC0"/>
    <w:rsid w:val="007C34B2"/>
    <w:rsid w:val="007F2D19"/>
    <w:rsid w:val="00803917"/>
    <w:rsid w:val="0093428E"/>
    <w:rsid w:val="00947E4A"/>
    <w:rsid w:val="00A07737"/>
    <w:rsid w:val="00A156E4"/>
    <w:rsid w:val="00A6148D"/>
    <w:rsid w:val="00AA723B"/>
    <w:rsid w:val="00BF05FA"/>
    <w:rsid w:val="00CE1A70"/>
    <w:rsid w:val="00D53E86"/>
    <w:rsid w:val="00D736F8"/>
    <w:rsid w:val="00D92A32"/>
    <w:rsid w:val="00E46BA3"/>
    <w:rsid w:val="00E520E6"/>
    <w:rsid w:val="00FB69AE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58A4B7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styleId="Hyperlink">
    <w:name w:val="Hyperlink"/>
    <w:uiPriority w:val="99"/>
    <w:unhideWhenUsed/>
    <w:rsid w:val="0093428E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3428E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3428E"/>
    <w:rPr>
      <w:rFonts w:ascii="Arial" w:hAnsi="Arial"/>
      <w:lang w:eastAsia="ko-KR"/>
    </w:rPr>
  </w:style>
  <w:style w:type="paragraph" w:styleId="Beschriftung">
    <w:name w:val="caption"/>
    <w:basedOn w:val="Standard"/>
    <w:next w:val="Standard"/>
    <w:uiPriority w:val="35"/>
    <w:unhideWhenUsed/>
    <w:qFormat/>
    <w:rsid w:val="00E46BA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resch@eeg.tuwien.ac.at" TargetMode="External"/><Relationship Id="rId2" Type="http://schemas.openxmlformats.org/officeDocument/2006/relationships/hyperlink" Target="http://www.eeg.tuwien.ac.at/" TargetMode="External"/><Relationship Id="rId1" Type="http://schemas.openxmlformats.org/officeDocument/2006/relationships/hyperlink" Target="mailto:liebmann@eeg.tuwien.ac.at" TargetMode="External"/><Relationship Id="rId4" Type="http://schemas.openxmlformats.org/officeDocument/2006/relationships/hyperlink" Target="http://www.eeg.tuwien.ac.a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Lukas Liebmann</cp:lastModifiedBy>
  <cp:revision>7</cp:revision>
  <dcterms:created xsi:type="dcterms:W3CDTF">2021-06-20T14:02:00Z</dcterms:created>
  <dcterms:modified xsi:type="dcterms:W3CDTF">2021-09-08T09:53:00Z</dcterms:modified>
</cp:coreProperties>
</file>