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25322" w14:textId="77777777" w:rsidR="005E4D4F" w:rsidRPr="005E4D4F" w:rsidRDefault="00AF7477" w:rsidP="005E4D4F">
      <w:pPr>
        <w:pStyle w:val="Abstract-Titel"/>
      </w:pPr>
      <w:r>
        <w:t>Marktbasierte Netzreservebeschaffung – Umsetzung und Ergebnisse</w:t>
      </w:r>
    </w:p>
    <w:p w14:paraId="034C009E" w14:textId="77777777" w:rsidR="00983196" w:rsidRDefault="00983196" w:rsidP="00983196">
      <w:pPr>
        <w:pStyle w:val="AutorenOrganisation"/>
      </w:pPr>
      <w:r>
        <w:t>(5) Integrierte Netze der Zukunft</w:t>
      </w:r>
    </w:p>
    <w:p w14:paraId="15C068E5" w14:textId="77777777" w:rsidR="005E4D4F" w:rsidRPr="007F0D5C" w:rsidRDefault="007A08F7" w:rsidP="00A156E4">
      <w:pPr>
        <w:pStyle w:val="AutorenOrganisation"/>
        <w:rPr>
          <w:lang w:val="en-GB"/>
        </w:rPr>
      </w:pPr>
      <w:r w:rsidRPr="007F0D5C">
        <w:rPr>
          <w:lang w:val="en-GB"/>
        </w:rPr>
        <w:t>Christian</w:t>
      </w:r>
      <w:r w:rsidR="005E4D4F" w:rsidRPr="007F0D5C">
        <w:rPr>
          <w:lang w:val="en-GB"/>
        </w:rPr>
        <w:t xml:space="preserve"> </w:t>
      </w:r>
      <w:r w:rsidRPr="007F0D5C">
        <w:rPr>
          <w:lang w:val="en-GB"/>
        </w:rPr>
        <w:t>PUGL-PICHLER</w:t>
      </w:r>
      <w:r w:rsidR="00C45D10">
        <w:rPr>
          <w:vertAlign w:val="superscript"/>
          <w:lang w:val="en-GB"/>
        </w:rPr>
        <w:t>(</w:t>
      </w:r>
      <w:r w:rsidR="00C45D10">
        <w:rPr>
          <w:rStyle w:val="Funotenzeichen"/>
          <w:lang w:val="en-GB"/>
        </w:rPr>
        <w:footnoteReference w:id="1"/>
      </w:r>
      <w:r w:rsidR="00C45D10">
        <w:rPr>
          <w:vertAlign w:val="superscript"/>
          <w:lang w:val="en-GB"/>
        </w:rPr>
        <w:t>)</w:t>
      </w:r>
      <w:r w:rsidR="005E4D4F" w:rsidRPr="007F0D5C">
        <w:rPr>
          <w:lang w:val="en-GB"/>
        </w:rPr>
        <w:t xml:space="preserve">, </w:t>
      </w:r>
      <w:r w:rsidRPr="007F0D5C">
        <w:rPr>
          <w:lang w:val="en-GB"/>
        </w:rPr>
        <w:t>Christoph</w:t>
      </w:r>
      <w:r w:rsidR="00010E92" w:rsidRPr="007F0D5C">
        <w:rPr>
          <w:lang w:val="en-GB"/>
        </w:rPr>
        <w:t xml:space="preserve"> </w:t>
      </w:r>
      <w:r w:rsidRPr="007F0D5C">
        <w:rPr>
          <w:lang w:val="en-GB"/>
        </w:rPr>
        <w:t>GEISSLER</w:t>
      </w:r>
      <w:r w:rsidRPr="007F0D5C">
        <w:rPr>
          <w:vertAlign w:val="superscript"/>
          <w:lang w:val="en-GB"/>
        </w:rPr>
        <w:t>(1)</w:t>
      </w:r>
      <w:r w:rsidRPr="007F0D5C">
        <w:rPr>
          <w:lang w:val="en-GB"/>
        </w:rPr>
        <w:t>, Felix HEMBACH</w:t>
      </w:r>
      <w:r w:rsidRPr="007F0D5C">
        <w:rPr>
          <w:vertAlign w:val="superscript"/>
          <w:lang w:val="en-GB"/>
        </w:rPr>
        <w:t xml:space="preserve">(1) </w:t>
      </w:r>
    </w:p>
    <w:p w14:paraId="1184D537" w14:textId="77777777" w:rsidR="005E4D4F" w:rsidRPr="007F0D5C" w:rsidRDefault="00A156E4" w:rsidP="005E4D4F">
      <w:pPr>
        <w:pStyle w:val="AutorenOrganisation"/>
      </w:pPr>
      <w:r w:rsidRPr="007F0D5C">
        <w:rPr>
          <w:vertAlign w:val="superscript"/>
        </w:rPr>
        <w:t>(</w:t>
      </w:r>
      <w:r w:rsidR="00010E92" w:rsidRPr="007F0D5C">
        <w:rPr>
          <w:vertAlign w:val="superscript"/>
        </w:rPr>
        <w:t>1</w:t>
      </w:r>
      <w:r w:rsidRPr="007F0D5C">
        <w:rPr>
          <w:vertAlign w:val="superscript"/>
        </w:rPr>
        <w:t>)</w:t>
      </w:r>
      <w:r w:rsidR="007A08F7">
        <w:t>Austrian Power Grid AG</w:t>
      </w:r>
    </w:p>
    <w:p w14:paraId="2FF4560E" w14:textId="77777777" w:rsidR="00A07737" w:rsidRPr="007F0D5C" w:rsidRDefault="00A07737" w:rsidP="00FB69AE">
      <w:pPr>
        <w:rPr>
          <w:lang w:val="de-AT"/>
        </w:rPr>
      </w:pPr>
    </w:p>
    <w:p w14:paraId="4B961DF8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5908867D" w14:textId="2863DE22" w:rsidR="00F11F3F" w:rsidRDefault="00983196" w:rsidP="00983196">
      <w:r>
        <w:t xml:space="preserve">Für einen sicheren Betrieb des Übertragungsnetzes ist es erforderlich </w:t>
      </w:r>
      <w:r w:rsidRPr="002773F3">
        <w:t>Netzengpässe zu erkennen, sowie aufgetretene Engpässe mit den zur Verfügung stehenden technischen und organisatorischen Mitteln zu beseitigen</w:t>
      </w:r>
      <w:r>
        <w:t xml:space="preserve">. </w:t>
      </w:r>
      <w:r w:rsidR="006C3717">
        <w:t xml:space="preserve">Während die Notwendigkeit auf Redispatch als ein solches Mittel zurückzugreifen in den letzten Jahren zugenommen hat verändert sich gleichzeitig der Kraftwerkspark und konventionelle Kraftwerke werden eingemottet. </w:t>
      </w:r>
      <w:r w:rsidR="00BF4EBD">
        <w:t xml:space="preserve">Fehlen die notwendigen Flexibilitätspotentiale kann der sichere Netzbetrieb nicht gewährleistet werden. </w:t>
      </w:r>
      <w:r>
        <w:t>Um die erforderliche</w:t>
      </w:r>
      <w:r w:rsidR="006C3717">
        <w:t>n</w:t>
      </w:r>
      <w:r>
        <w:t xml:space="preserve"> Erzeugungs- und Lastreduktionskapazitäten </w:t>
      </w:r>
      <w:r w:rsidR="00BF4EBD">
        <w:t xml:space="preserve">zur Beseitigung von Engpässen </w:t>
      </w:r>
      <w:r w:rsidR="00F11F3F">
        <w:t xml:space="preserve">langfristig </w:t>
      </w:r>
      <w:r>
        <w:t>sicherzustellen</w:t>
      </w:r>
      <w:r w:rsidR="00F11F3F">
        <w:t>, werden vom Übertragungsnetzbetreiber</w:t>
      </w:r>
      <w:r w:rsidR="00CD57D6">
        <w:t xml:space="preserve"> (ÜNB)</w:t>
      </w:r>
      <w:r w:rsidR="00F11F3F">
        <w:t xml:space="preserve"> </w:t>
      </w:r>
      <w:r w:rsidR="00AB6EF0">
        <w:t>A</w:t>
      </w:r>
      <w:r w:rsidR="00F11F3F">
        <w:t xml:space="preserve">nlagen </w:t>
      </w:r>
      <w:r w:rsidR="00CD57D6">
        <w:t>kontrahiert</w:t>
      </w:r>
      <w:r w:rsidR="00AB6EF0">
        <w:t>, welche ausschließlich für diesen Zweck zur Verfügung stehen (Netzreserve)</w:t>
      </w:r>
      <w:r w:rsidR="00CD57D6">
        <w:t>.</w:t>
      </w:r>
    </w:p>
    <w:p w14:paraId="371C499E" w14:textId="4B8F5140" w:rsidR="00227125" w:rsidRDefault="00F11F3F" w:rsidP="00983196">
      <w:pPr>
        <w:rPr>
          <w:lang w:val="de-AT"/>
        </w:rPr>
      </w:pPr>
      <w:r>
        <w:t xml:space="preserve">Nach </w:t>
      </w:r>
      <w:r w:rsidR="00CD57D6">
        <w:t xml:space="preserve">den </w:t>
      </w:r>
      <w:r w:rsidR="00CD57D6" w:rsidRPr="00F11F3F">
        <w:t>Änderungen</w:t>
      </w:r>
      <w:r w:rsidRPr="00F11F3F">
        <w:t xml:space="preserve"> des Elektrizitätswirtschafts- und –organisationsgesetzes 2010</w:t>
      </w:r>
      <w:r>
        <w:t xml:space="preserve"> (ElWOG 2010)</w:t>
      </w:r>
      <w:r w:rsidR="00CD57D6">
        <w:t xml:space="preserve"> im Januar 2021 hat der </w:t>
      </w:r>
      <w:r w:rsidR="006C3717">
        <w:t xml:space="preserve">Regelzonenführer </w:t>
      </w:r>
      <w:r w:rsidR="00CD57D6">
        <w:t xml:space="preserve">eine Systemanalyse über den Bedarf an Netzreserve durchzuführen, die technischen Eignungskriterien festzulegen und die Netzreserve mittels eines transparenten, nichtdiskriminierenden und marktorientierten Ausschreibungsverfahrens zu beschaffen. </w:t>
      </w:r>
      <w:r w:rsidR="00CD57D6">
        <w:rPr>
          <w:lang w:val="de-AT"/>
        </w:rPr>
        <w:t>Dieser Prozess wird im Rahmen der Arbeit detailliert dargestellt.</w:t>
      </w:r>
    </w:p>
    <w:p w14:paraId="534114EE" w14:textId="77777777" w:rsidR="00C45D10" w:rsidRDefault="00C45D10" w:rsidP="00983196"/>
    <w:p w14:paraId="02CCC2D6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045B2D17" w14:textId="1B9B073E" w:rsidR="00FC016E" w:rsidRDefault="00CD57D6" w:rsidP="00227125">
      <w:r>
        <w:t>In einem ersten Schritt w</w:t>
      </w:r>
      <w:r w:rsidR="00FB1482">
        <w:t xml:space="preserve">urde </w:t>
      </w:r>
      <w:r w:rsidR="00811147">
        <w:t xml:space="preserve">im Rahmen der </w:t>
      </w:r>
      <w:r w:rsidR="00AB6EF0">
        <w:t xml:space="preserve">Systemanalyse </w:t>
      </w:r>
      <w:r w:rsidR="00811147">
        <w:t xml:space="preserve">der Bedarf an Netzreserve </w:t>
      </w:r>
      <w:r>
        <w:t xml:space="preserve">ermittelt. </w:t>
      </w:r>
      <w:r w:rsidR="00AB6EF0">
        <w:t>Dabei w</w:t>
      </w:r>
      <w:r w:rsidR="00FB1482">
        <w:t>urden</w:t>
      </w:r>
      <w:r w:rsidR="00AB6EF0">
        <w:t xml:space="preserve"> </w:t>
      </w:r>
      <w:r w:rsidR="006C3717">
        <w:t xml:space="preserve">die nationalen und internationalen Entwicklungen </w:t>
      </w:r>
      <w:r w:rsidR="00AB6EF0">
        <w:t>de</w:t>
      </w:r>
      <w:r w:rsidR="006C3717">
        <w:t>s</w:t>
      </w:r>
      <w:r w:rsidR="00AB6EF0">
        <w:t xml:space="preserve"> Kraftwerkspark</w:t>
      </w:r>
      <w:r w:rsidR="00886DA9">
        <w:t>s</w:t>
      </w:r>
      <w:bookmarkStart w:id="0" w:name="_GoBack"/>
      <w:bookmarkEnd w:id="0"/>
      <w:r w:rsidR="00AB6EF0">
        <w:t xml:space="preserve">, </w:t>
      </w:r>
      <w:r w:rsidR="006C3717">
        <w:t>des Netzausbaus und der internationalen Handelskapazitäten</w:t>
      </w:r>
      <w:r w:rsidR="00AB6EF0">
        <w:t xml:space="preserve"> berücksichtigt. </w:t>
      </w:r>
    </w:p>
    <w:p w14:paraId="38DD7851" w14:textId="77777777" w:rsidR="00AB6EF0" w:rsidRDefault="00AB6EF0" w:rsidP="00227125">
      <w:r>
        <w:t xml:space="preserve">Um den festgestellten Bedarf in einer </w:t>
      </w:r>
      <w:r w:rsidR="00FC016E">
        <w:t xml:space="preserve">marktbasierten </w:t>
      </w:r>
      <w:r>
        <w:t>Auktion beschaffen zu können, w</w:t>
      </w:r>
      <w:r w:rsidR="00FB1482">
        <w:t>u</w:t>
      </w:r>
      <w:r>
        <w:t>rden in e</w:t>
      </w:r>
      <w:r w:rsidR="00FC016E">
        <w:t>inem nächsten Schritt die für die Teilnahme notwendigen technischen Voraussetzungen definiert. Diese umfassen unter anderem maximale Anfahr- bzw. Aktivierungszeiten der Anlagen</w:t>
      </w:r>
      <w:r w:rsidR="00A55F28">
        <w:t>,</w:t>
      </w:r>
      <w:r w:rsidR="00FC016E">
        <w:t xml:space="preserve"> </w:t>
      </w:r>
      <w:r w:rsidR="00A55F28">
        <w:t>CO</w:t>
      </w:r>
      <w:r w:rsidR="00A55F28">
        <w:rPr>
          <w:vertAlign w:val="subscript"/>
        </w:rPr>
        <w:t>2</w:t>
      </w:r>
      <w:r w:rsidR="00A55F28">
        <w:t xml:space="preserve"> Grenzwerte als auch den geographischen Netzanschlusspunkt. </w:t>
      </w:r>
    </w:p>
    <w:p w14:paraId="235D854C" w14:textId="77777777" w:rsidR="00A55F28" w:rsidRDefault="00A55F28" w:rsidP="00227125">
      <w:r>
        <w:t>Im letzten Schritt wurden marktwirtschaftliche Parameter wie Mindestgebotsgröße, Produktdauer als auch ein einheitliches Bewertungsschema definiert, um unterschiedliche Anlagentypen wie Erzeugungs- und Lastreduktionsanlagen als auch Aggregatoren gleichermaßen zu bewerten und den Bedarf an Netzreserve zu geringsten möglichen Kosten decken zu können.</w:t>
      </w:r>
    </w:p>
    <w:p w14:paraId="55CF82E9" w14:textId="77777777" w:rsidR="00C45D10" w:rsidRDefault="00C45D10" w:rsidP="00227125"/>
    <w:p w14:paraId="14DDF75E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22679902" w14:textId="0B8D5775" w:rsidR="0046556D" w:rsidRDefault="00A55F28" w:rsidP="00227125">
      <w:r>
        <w:t xml:space="preserve">Durch die Änderungen im ElWOG </w:t>
      </w:r>
      <w:r w:rsidR="002962AE">
        <w:t xml:space="preserve">wurden die rechtlichen Rahmenbedingungen für die Netzreserve </w:t>
      </w:r>
      <w:r w:rsidR="002962AE">
        <w:t>überarbeitet. Der Fokus liegt dabei auf</w:t>
      </w:r>
      <w:r w:rsidR="007F0D5C">
        <w:t xml:space="preserve"> der</w:t>
      </w:r>
      <w:r w:rsidR="0046556D">
        <w:t xml:space="preserve"> </w:t>
      </w:r>
      <w:r w:rsidR="002962AE">
        <w:t>Systemanalyse</w:t>
      </w:r>
      <w:r w:rsidR="0046556D">
        <w:t xml:space="preserve"> zur Bedarfsfeststellung</w:t>
      </w:r>
      <w:r w:rsidR="00886DA9">
        <w:t xml:space="preserve"> in welchem auch die Stilllegungen von Erzeugungsanlagen berücksichtigt werden</w:t>
      </w:r>
      <w:r w:rsidR="007E42E5">
        <w:t>,</w:t>
      </w:r>
      <w:r w:rsidR="002962AE">
        <w:t xml:space="preserve"> als auch</w:t>
      </w:r>
      <w:r w:rsidR="007F0D5C">
        <w:t xml:space="preserve"> auf der Beschaffung durch ein</w:t>
      </w:r>
      <w:r w:rsidR="002962AE">
        <w:t xml:space="preserve"> </w:t>
      </w:r>
      <w:r w:rsidR="0046556D" w:rsidRPr="0046556D">
        <w:t>transparente</w:t>
      </w:r>
      <w:r w:rsidR="007F0D5C">
        <w:t>s</w:t>
      </w:r>
      <w:r w:rsidR="0046556D" w:rsidRPr="0046556D">
        <w:t>, nichtdiskriminierenden und marktorientierten Ausschreibungsverfahren</w:t>
      </w:r>
      <w:r w:rsidR="007F0D5C">
        <w:t>.</w:t>
      </w:r>
    </w:p>
    <w:p w14:paraId="7B659C9E" w14:textId="19D1FA09" w:rsidR="006035BC" w:rsidRDefault="006035BC" w:rsidP="00227125">
      <w:r>
        <w:t xml:space="preserve">In der Systemanalyse wurde unter Berücksichtigung von </w:t>
      </w:r>
      <w:r w:rsidR="00F05751">
        <w:t xml:space="preserve">möglichen </w:t>
      </w:r>
      <w:r>
        <w:t>Erzeugungs- und Nachfragesituation</w:t>
      </w:r>
      <w:r w:rsidR="00F05751">
        <w:t>en</w:t>
      </w:r>
      <w:r>
        <w:t xml:space="preserve"> als auch Netzausbauprojekten der Bedarf an Netzreserve ermittelt. Des Weiteren wurde ein relevanter Netzbereich definiert, in </w:t>
      </w:r>
      <w:r w:rsidR="00BF4EBD">
        <w:t xml:space="preserve">welchem </w:t>
      </w:r>
      <w:r>
        <w:t xml:space="preserve">die standortabhängige </w:t>
      </w:r>
      <w:r w:rsidRPr="006035BC">
        <w:t xml:space="preserve">netztechnische Wirksamkeit </w:t>
      </w:r>
      <w:r>
        <w:t>der Anlagen geben ist, um den</w:t>
      </w:r>
      <w:r w:rsidRPr="006035BC">
        <w:t xml:space="preserve"> Bedarf</w:t>
      </w:r>
      <w:r>
        <w:t xml:space="preserve"> sicher decken zu können.</w:t>
      </w:r>
    </w:p>
    <w:p w14:paraId="32C509F4" w14:textId="75B6554D" w:rsidR="00F05751" w:rsidRDefault="00886DA9" w:rsidP="00227125">
      <w:pPr>
        <w:rPr>
          <w:rFonts w:cs="Arial"/>
        </w:rPr>
      </w:pPr>
      <w:r>
        <w:lastRenderedPageBreak/>
        <w:t xml:space="preserve">Das Ausschreibungsverfahren wurde technologieneutral gestaltet, sodass auch Speicher, Verbraucher oder Erneuerbare Energieträger in der Netzreserve anbieten können. </w:t>
      </w:r>
      <w:r w:rsidR="007F0D5C">
        <w:rPr>
          <w:lang w:val="de-AT"/>
        </w:rPr>
        <w:t xml:space="preserve">Weiters </w:t>
      </w:r>
      <w:r w:rsidR="00F05751">
        <w:rPr>
          <w:lang w:val="de-AT"/>
        </w:rPr>
        <w:t>erh</w:t>
      </w:r>
      <w:r w:rsidR="00FB1482">
        <w:rPr>
          <w:lang w:val="de-AT"/>
        </w:rPr>
        <w:t>iel</w:t>
      </w:r>
      <w:r w:rsidR="00F05751">
        <w:rPr>
          <w:lang w:val="de-AT"/>
        </w:rPr>
        <w:t xml:space="preserve">ten </w:t>
      </w:r>
      <w:r w:rsidR="007F0D5C">
        <w:rPr>
          <w:lang w:val="de-AT"/>
        </w:rPr>
        <w:t>durch die Mindestgebotsgröße von 1 MW und der Möglichkeit des Poolings auch kleinerer Anlagen die Möglichkeit an der Netzreserve mitzuwirken.</w:t>
      </w:r>
      <w:r>
        <w:rPr>
          <w:lang w:val="de-AT"/>
        </w:rPr>
        <w:t xml:space="preserve"> </w:t>
      </w:r>
      <w:r w:rsidR="00F05751">
        <w:t xml:space="preserve">Zur Auswahl der Angebote wurde ein Optimierungsalgorithmus entwickelt, welcher Angebote nach dem Grundsatz auswählt, den Bedarf an Netzreserve zu den </w:t>
      </w:r>
      <w:r w:rsidR="00F05751">
        <w:rPr>
          <w:rFonts w:cs="Arial"/>
        </w:rPr>
        <w:t>geringsten Kosten zu decken. Dabei werden neben den Preis pro Angebot auch eventuelle Revisionszeiten und die verfügbare Leistung während einer Revision berücksichtigt.</w:t>
      </w:r>
    </w:p>
    <w:p w14:paraId="4C1BA98F" w14:textId="77777777" w:rsidR="00C45D10" w:rsidRDefault="00C45D10" w:rsidP="00227125"/>
    <w:p w14:paraId="5C44BD92" w14:textId="77777777" w:rsidR="005E4D4F" w:rsidRP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p w14:paraId="54297616" w14:textId="77777777" w:rsidR="00F05751" w:rsidRDefault="00483B87" w:rsidP="00F05751">
      <w:pPr>
        <w:pStyle w:val="Literatur"/>
        <w:jc w:val="left"/>
        <w:rPr>
          <w:lang w:val="de-AT"/>
        </w:rPr>
      </w:pPr>
      <w:r w:rsidRPr="00F05751">
        <w:rPr>
          <w:lang w:val="de-AT"/>
        </w:rPr>
        <w:t>[1]</w:t>
      </w:r>
      <w:r w:rsidRPr="00F05751">
        <w:rPr>
          <w:lang w:val="de-AT"/>
        </w:rPr>
        <w:tab/>
      </w:r>
      <w:r w:rsidR="00F05751" w:rsidRPr="00F05751">
        <w:rPr>
          <w:lang w:val="de-AT"/>
        </w:rPr>
        <w:t xml:space="preserve">Republik Österreich. (2021, Januar 07). </w:t>
      </w:r>
      <w:r w:rsidR="00F05751">
        <w:rPr>
          <w:i/>
          <w:lang w:val="de-AT"/>
        </w:rPr>
        <w:t>Bundesgesetzblatt für die Republik Österreich</w:t>
      </w:r>
      <w:r w:rsidR="00F05751" w:rsidRPr="00F05751">
        <w:rPr>
          <w:lang w:val="de-AT"/>
        </w:rPr>
        <w:t xml:space="preserve">. </w:t>
      </w:r>
    </w:p>
    <w:p w14:paraId="55A400FC" w14:textId="7B48315F" w:rsidR="00010E92" w:rsidRPr="00886DA9" w:rsidRDefault="00F05751" w:rsidP="00F05751">
      <w:pPr>
        <w:pStyle w:val="Literatur"/>
        <w:ind w:firstLine="0"/>
        <w:jc w:val="left"/>
        <w:rPr>
          <w:lang w:val="en-GB"/>
        </w:rPr>
      </w:pPr>
      <w:r w:rsidRPr="00FB1482">
        <w:rPr>
          <w:lang w:val="en-GB"/>
        </w:rPr>
        <w:t xml:space="preserve">[Online]. </w:t>
      </w:r>
      <w:r w:rsidRPr="00F05751">
        <w:rPr>
          <w:lang w:val="en-GB"/>
        </w:rPr>
        <w:t>Available:</w:t>
      </w:r>
      <w:r>
        <w:rPr>
          <w:lang w:val="en-GB"/>
        </w:rPr>
        <w:t xml:space="preserve"> </w:t>
      </w:r>
      <w:hyperlink r:id="rId8" w:history="1">
        <w:r w:rsidR="00886DA9" w:rsidRPr="00886DA9">
          <w:rPr>
            <w:rStyle w:val="Hyperlink"/>
            <w:lang w:val="en-GB"/>
          </w:rPr>
          <w:t>https://www.ris.bka.gv.at/Dokumente/BgblAuth/BGBLA_2021_I_17/BGBLA_2021_I_17.html</w:t>
        </w:r>
      </w:hyperlink>
    </w:p>
    <w:p w14:paraId="0FC698F8" w14:textId="77777777" w:rsidR="005E4D4F" w:rsidRPr="00F05751" w:rsidRDefault="005E4D4F" w:rsidP="00227125">
      <w:pPr>
        <w:pStyle w:val="Literatur"/>
        <w:rPr>
          <w:lang w:val="en-GB"/>
        </w:rPr>
      </w:pPr>
    </w:p>
    <w:sectPr w:rsidR="005E4D4F" w:rsidRPr="00F05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45813" w14:textId="77777777" w:rsidR="00662525" w:rsidRDefault="00662525">
      <w:r>
        <w:separator/>
      </w:r>
    </w:p>
  </w:endnote>
  <w:endnote w:type="continuationSeparator" w:id="0">
    <w:p w14:paraId="02F1EF9E" w14:textId="77777777" w:rsidR="00662525" w:rsidRDefault="0066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1E65" w14:textId="77777777" w:rsidR="00662525" w:rsidRDefault="00662525">
      <w:r>
        <w:separator/>
      </w:r>
    </w:p>
  </w:footnote>
  <w:footnote w:type="continuationSeparator" w:id="0">
    <w:p w14:paraId="43AF82FE" w14:textId="77777777" w:rsidR="00662525" w:rsidRDefault="00662525">
      <w:r>
        <w:continuationSeparator/>
      </w:r>
    </w:p>
  </w:footnote>
  <w:footnote w:id="1">
    <w:p w14:paraId="7D621730" w14:textId="77777777" w:rsidR="00C45D10" w:rsidRPr="00FA0AD0" w:rsidRDefault="00C45D10" w:rsidP="00C45D1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A0AD0">
        <w:rPr>
          <w:lang w:eastAsia="de-AT"/>
        </w:rPr>
        <w:t>Wagramer Straße 19 (IZD-Tower) 1220 Wien</w:t>
      </w:r>
      <w:r w:rsidRPr="00FA0AD0">
        <w:t xml:space="preserve">, </w:t>
      </w:r>
      <w:hyperlink r:id="rId1" w:history="1">
        <w:r w:rsidRPr="00FA0AD0">
          <w:rPr>
            <w:rStyle w:val="Hyperlink"/>
          </w:rPr>
          <w:t>office.umm@apg.at</w:t>
        </w:r>
      </w:hyperlink>
      <w:r w:rsidRPr="00FA0AD0">
        <w:t xml:space="preserve">, </w:t>
      </w:r>
      <w:hyperlink r:id="rId2" w:history="1">
        <w:r w:rsidRPr="00FA0AD0">
          <w:rPr>
            <w:rStyle w:val="Hyperlink"/>
          </w:rPr>
          <w:t>www.apg.at</w:t>
        </w:r>
      </w:hyperlink>
      <w:r w:rsidRPr="00FA0AD0">
        <w:t xml:space="preserve"> </w:t>
      </w:r>
    </w:p>
    <w:p w14:paraId="37207676" w14:textId="77777777" w:rsidR="00C45D10" w:rsidRPr="00C45D10" w:rsidRDefault="00C45D10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C163B"/>
    <w:rsid w:val="002014D3"/>
    <w:rsid w:val="00227125"/>
    <w:rsid w:val="00262FD5"/>
    <w:rsid w:val="002946B8"/>
    <w:rsid w:val="002962AE"/>
    <w:rsid w:val="00350F98"/>
    <w:rsid w:val="00372E07"/>
    <w:rsid w:val="003B676F"/>
    <w:rsid w:val="003C28FE"/>
    <w:rsid w:val="0046556D"/>
    <w:rsid w:val="00483B87"/>
    <w:rsid w:val="005B1ADB"/>
    <w:rsid w:val="005E4D4F"/>
    <w:rsid w:val="006035BC"/>
    <w:rsid w:val="00662525"/>
    <w:rsid w:val="006C3717"/>
    <w:rsid w:val="007378C8"/>
    <w:rsid w:val="00741EC0"/>
    <w:rsid w:val="007A08F7"/>
    <w:rsid w:val="007E42E5"/>
    <w:rsid w:val="007F0D5C"/>
    <w:rsid w:val="00803917"/>
    <w:rsid w:val="00811147"/>
    <w:rsid w:val="00886DA9"/>
    <w:rsid w:val="00983196"/>
    <w:rsid w:val="00A07737"/>
    <w:rsid w:val="00A156E4"/>
    <w:rsid w:val="00A55F28"/>
    <w:rsid w:val="00A6148D"/>
    <w:rsid w:val="00AB6EF0"/>
    <w:rsid w:val="00AF7477"/>
    <w:rsid w:val="00B63DDD"/>
    <w:rsid w:val="00BF05FA"/>
    <w:rsid w:val="00BF4EBD"/>
    <w:rsid w:val="00C45D10"/>
    <w:rsid w:val="00CD57D6"/>
    <w:rsid w:val="00CE1A70"/>
    <w:rsid w:val="00D41073"/>
    <w:rsid w:val="00D53E86"/>
    <w:rsid w:val="00D736F8"/>
    <w:rsid w:val="00E520E6"/>
    <w:rsid w:val="00F05751"/>
    <w:rsid w:val="00F11F3F"/>
    <w:rsid w:val="00FB1482"/>
    <w:rsid w:val="00FB69AE"/>
    <w:rsid w:val="00FC016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25A24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F0575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05751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nhideWhenUsed/>
    <w:rsid w:val="00C45D10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D10"/>
    <w:rPr>
      <w:rFonts w:ascii="Arial" w:hAnsi="Arial"/>
      <w:lang w:eastAsia="ko-K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11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11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1147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11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1147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1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147"/>
    <w:rPr>
      <w:rFonts w:ascii="Segoe UI" w:hAnsi="Segoe UI" w:cs="Segoe UI"/>
      <w:sz w:val="18"/>
      <w:szCs w:val="18"/>
      <w:lang w:eastAsia="ko-KR"/>
    </w:rPr>
  </w:style>
  <w:style w:type="paragraph" w:styleId="berarbeitung">
    <w:name w:val="Revision"/>
    <w:hidden/>
    <w:uiPriority w:val="99"/>
    <w:semiHidden/>
    <w:rsid w:val="00BF4EBD"/>
    <w:rPr>
      <w:rFonts w:ascii="Arial" w:hAnsi="Arial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.bka.gv.at/Dokumente/BgblAuth/BGBLA_2021_I_17/BGBLA_2021_I_1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g.at" TargetMode="External"/><Relationship Id="rId1" Type="http://schemas.openxmlformats.org/officeDocument/2006/relationships/hyperlink" Target="mailto:office.umm@ap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753D-C452-4E51-8AA0-ACDA8F03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3683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Pugl-Pichler Christian</cp:lastModifiedBy>
  <cp:revision>2</cp:revision>
  <dcterms:created xsi:type="dcterms:W3CDTF">2021-06-01T08:22:00Z</dcterms:created>
  <dcterms:modified xsi:type="dcterms:W3CDTF">2021-06-01T08:22:00Z</dcterms:modified>
</cp:coreProperties>
</file>