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5CEF" w14:textId="6FFDA74F" w:rsidR="00435785" w:rsidRPr="00435785" w:rsidRDefault="00435785" w:rsidP="00A156E4">
      <w:pPr>
        <w:pStyle w:val="AutorenOrganisation"/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</w:pPr>
      <w:commentRangeStart w:id="0"/>
      <w:r w:rsidRPr="00435785"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>Power-to-Hydrogen in Renewable-Integrated Energy Systems – Understanding Revenue Drivers</w:t>
      </w:r>
      <w:commentRangeEnd w:id="0"/>
      <w:r>
        <w:rPr>
          <w:rStyle w:val="Kommentarzeichen"/>
          <w:rFonts w:cs="Times New Roman"/>
          <w:color w:val="auto"/>
          <w:spacing w:val="0"/>
          <w:lang w:val="de-DE" w:eastAsia="ko-KR"/>
        </w:rPr>
        <w:commentReference w:id="0"/>
      </w:r>
    </w:p>
    <w:p w14:paraId="41227B1F" w14:textId="0C4211B0" w:rsidR="00BF05FA" w:rsidRDefault="00FA470E" w:rsidP="00A156E4">
      <w:pPr>
        <w:pStyle w:val="AutorenOrganisation"/>
      </w:pPr>
      <w:r>
        <w:t>Strom, Wärmeerzeugung und Speicher</w:t>
      </w:r>
    </w:p>
    <w:p w14:paraId="41227B20" w14:textId="3C6AD5CF" w:rsidR="005E4D4F" w:rsidRPr="005E4D4F" w:rsidRDefault="0030454F" w:rsidP="00A156E4">
      <w:pPr>
        <w:pStyle w:val="AutorenOrganisation"/>
      </w:pPr>
      <w:r>
        <w:t>Philipp Theile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>
        <w:t>David Schlund</w:t>
      </w:r>
      <w:r w:rsidR="00A156E4" w:rsidRPr="00A156E4">
        <w:rPr>
          <w:vertAlign w:val="superscript"/>
        </w:rPr>
        <w:t>(</w:t>
      </w:r>
      <w:r>
        <w:rPr>
          <w:vertAlign w:val="superscript"/>
        </w:rPr>
        <w:t>1</w:t>
      </w:r>
      <w:r w:rsidR="00A156E4">
        <w:rPr>
          <w:vertAlign w:val="superscript"/>
        </w:rPr>
        <w:t>)</w:t>
      </w:r>
    </w:p>
    <w:p w14:paraId="41227B21" w14:textId="064486A8" w:rsidR="005E4D4F" w:rsidRDefault="00A156E4" w:rsidP="005E4D4F">
      <w:pPr>
        <w:pStyle w:val="AutorenOrganisation"/>
      </w:pPr>
      <w:r>
        <w:rPr>
          <w:vertAlign w:val="superscript"/>
        </w:rPr>
        <w:t>(</w:t>
      </w:r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r w:rsidR="0030454F">
        <w:t>Energiewirtschaftliches Institut an der Universität zu Köln (EWI)</w:t>
      </w:r>
    </w:p>
    <w:p w14:paraId="41227B22" w14:textId="77777777" w:rsidR="00A07737" w:rsidRPr="005E4D4F" w:rsidRDefault="00A07737" w:rsidP="00FB69AE">
      <w:pPr>
        <w:rPr>
          <w:lang w:val="de-AT"/>
        </w:rPr>
      </w:pPr>
    </w:p>
    <w:p w14:paraId="41227B23" w14:textId="4B74DD92" w:rsidR="005E4D4F" w:rsidRDefault="005E4D4F" w:rsidP="005E4D4F">
      <w:pPr>
        <w:pStyle w:val="Ueberschrift"/>
      </w:pPr>
      <w:commentRangeStart w:id="1"/>
      <w:r w:rsidRPr="005E4D4F">
        <w:t>Motivation und zentrale Fragestellung</w:t>
      </w:r>
      <w:commentRangeEnd w:id="1"/>
      <w:r w:rsidR="00D64424">
        <w:rPr>
          <w:rStyle w:val="Kommentarzeichen"/>
          <w:b w:val="0"/>
          <w:spacing w:val="0"/>
          <w:lang w:eastAsia="ko-KR"/>
        </w:rPr>
        <w:commentReference w:id="1"/>
      </w:r>
    </w:p>
    <w:p w14:paraId="41227B28" w14:textId="59AEE9CF" w:rsidR="005E4D4F" w:rsidRPr="005E4D4F" w:rsidRDefault="00D64424" w:rsidP="00227125">
      <w:r w:rsidRPr="00D64424">
        <w:t>Die Produktion von Wasserstoff mithilfe von Power-to-Gas-Technologien (PtG) ist derzeit noch nicht wirtschaftlich gegenüber konventionellen, emissionsintensiven Produktionsmethoden. Gleichzeitig wird durch die Nutzung von Strom aus erneuerbaren Energiequellen</w:t>
      </w:r>
      <w:r w:rsidR="002666A2">
        <w:t xml:space="preserve"> (EE)</w:t>
      </w:r>
      <w:r w:rsidRPr="00D64424">
        <w:t xml:space="preserve"> eine starke Abhängigkeit von Primärenergieträgern, wie beispielsweise Sonne und Wind, sowie vom Strommarkt hergestellt. PtG Anlagen stehen damit an der Schnittstelle zwischen den existierenden Strom- und künftigen Wasserstoffmärkten und ihre Rentabilität hängt von mehreren Faktoren</w:t>
      </w:r>
      <w:r w:rsidR="00DE54B4">
        <w:t xml:space="preserve"> auf beiden Märkten</w:t>
      </w:r>
      <w:r w:rsidRPr="00D64424">
        <w:t xml:space="preserve"> ab.</w:t>
      </w:r>
      <w:r w:rsidR="001E0140">
        <w:t xml:space="preserve"> </w:t>
      </w:r>
      <w:r w:rsidR="00443EFF">
        <w:t xml:space="preserve">Ziel der Arbeit ist es, </w:t>
      </w:r>
      <w:r w:rsidR="001373D5">
        <w:t>den Einfluss der</w:t>
      </w:r>
      <w:r w:rsidR="00443EFF">
        <w:t xml:space="preserve"> </w:t>
      </w:r>
      <w:r w:rsidR="00D60342">
        <w:t>Variabilität volatile</w:t>
      </w:r>
      <w:r w:rsidR="001373D5">
        <w:t>r</w:t>
      </w:r>
      <w:r w:rsidR="00D60342">
        <w:t xml:space="preserve"> EE-Einspeisung und </w:t>
      </w:r>
      <w:r w:rsidR="001373D5">
        <w:t>zeitlich variierender Strompreise auf die Wirtschaftlichkeit von PtG-Anlagen zu untersuchen</w:t>
      </w:r>
      <w:r w:rsidR="008658FD">
        <w:t>.</w:t>
      </w:r>
    </w:p>
    <w:p w14:paraId="41227B29" w14:textId="77777777" w:rsidR="005E4D4F" w:rsidRPr="005E4D4F" w:rsidRDefault="005E4D4F" w:rsidP="005E4D4F">
      <w:pPr>
        <w:pStyle w:val="Ueberschrift"/>
      </w:pPr>
      <w:commentRangeStart w:id="2"/>
      <w:r w:rsidRPr="005E4D4F">
        <w:t>Methodische Vorgangsweise</w:t>
      </w:r>
      <w:commentRangeEnd w:id="2"/>
      <w:r w:rsidR="004B684D">
        <w:rPr>
          <w:rStyle w:val="Kommentarzeichen"/>
          <w:b w:val="0"/>
          <w:spacing w:val="0"/>
          <w:lang w:eastAsia="ko-KR"/>
        </w:rPr>
        <w:commentReference w:id="2"/>
      </w:r>
    </w:p>
    <w:p w14:paraId="12E38BD6" w14:textId="4F86DD77" w:rsidR="00870BA3" w:rsidRDefault="00E92E5F" w:rsidP="00227125">
      <w:r>
        <w:t xml:space="preserve">Die Forschungsfrage wird mithilfe einer numerischen </w:t>
      </w:r>
      <w:r w:rsidR="005D7C2B">
        <w:t>Simulation</w:t>
      </w:r>
      <w:r>
        <w:t xml:space="preserve"> einer PtG-Anlage </w:t>
      </w:r>
      <w:r w:rsidR="00B06D28">
        <w:t>untersucht</w:t>
      </w:r>
      <w:r w:rsidR="002666A2">
        <w:t>.</w:t>
      </w:r>
      <w:r w:rsidR="005D7C2B">
        <w:t xml:space="preserve"> </w:t>
      </w:r>
      <w:r w:rsidR="006C2BB1">
        <w:t xml:space="preserve">Für die </w:t>
      </w:r>
      <w:r w:rsidR="002666A2">
        <w:t>Eingangsparameter zu St</w:t>
      </w:r>
      <w:r w:rsidR="006C2BB1">
        <w:t>r</w:t>
      </w:r>
      <w:r w:rsidR="002666A2">
        <w:t>ommarktpreisen und</w:t>
      </w:r>
      <w:r w:rsidR="006C2BB1">
        <w:t xml:space="preserve"> der</w:t>
      </w:r>
      <w:r w:rsidR="002666A2">
        <w:t xml:space="preserve"> EE-Einspeisung</w:t>
      </w:r>
      <w:r w:rsidR="006C2BB1">
        <w:t xml:space="preserve"> wird ein Regressionsmodell entwickelt, das auf historische Preis- und Einspeisezeitreihen kalibriert wird. </w:t>
      </w:r>
      <w:r w:rsidR="005B02BF">
        <w:t xml:space="preserve">Um die Variabilität der EE-Einspeisung </w:t>
      </w:r>
      <w:r w:rsidR="00AA0726">
        <w:t>abzubilden,</w:t>
      </w:r>
      <w:r w:rsidR="005B02BF">
        <w:t xml:space="preserve"> werden im nächsten Schritt mithilfe von Monte-Carlo-Simulationen randomisierte Wind</w:t>
      </w:r>
      <w:r w:rsidR="00A65A7F">
        <w:t xml:space="preserve">prognose- und realisierte Windeinspeisezeitreihen </w:t>
      </w:r>
      <w:r w:rsidR="00EE51CD">
        <w:t xml:space="preserve">entwickelt. Die Zeitreihen dienen als Eingangsparameter für das Regressionsmodell, um Day-Ahead- und Intradaypreiszeitreihen zu berechnen. </w:t>
      </w:r>
      <w:r w:rsidR="00AA0726">
        <w:t xml:space="preserve">Wind- und Strompreiszeitreihen </w:t>
      </w:r>
      <w:r w:rsidR="00420613">
        <w:t>sind</w:t>
      </w:r>
      <w:r w:rsidR="00AA0726">
        <w:t xml:space="preserve"> Eingangsparameter eines techno-ökonomischen Optimierungsmodell zur Simulation der Betriebsentscheidungen einer PtG-Anlage.</w:t>
      </w:r>
      <w:r w:rsidR="00C717C3">
        <w:t xml:space="preserve"> </w:t>
      </w:r>
      <w:r w:rsidR="00E07E1A">
        <w:t xml:space="preserve">Das Modell ist als </w:t>
      </w:r>
      <w:r w:rsidR="00C20686">
        <w:t>gemischt-ganzzahlige</w:t>
      </w:r>
      <w:r w:rsidR="00E07E1A">
        <w:t>s Optimierungsproblem formuliert.</w:t>
      </w:r>
      <w:r w:rsidR="00C20686">
        <w:t xml:space="preserve"> </w:t>
      </w:r>
      <w:r w:rsidR="00617755">
        <w:t xml:space="preserve">Die Anlage maximiert ihren Profit unter der Vorgabe eines exogenen Wasserstoffpreises und </w:t>
      </w:r>
      <w:r w:rsidR="001B7808">
        <w:t>Restriktionen der EE-Stromverfügbarkeit.</w:t>
      </w:r>
      <w:r w:rsidR="00F2746D">
        <w:t xml:space="preserve"> Die wesentliche</w:t>
      </w:r>
      <w:r w:rsidR="00105A36">
        <w:t xml:space="preserve"> Variable ist der operative Betrieb der Anlage, also die Stromabnahme bzw. Wasserstofferzeugung. Wesentliche Nebenbedingungen betreffen die Teillasteffizienz </w:t>
      </w:r>
      <w:r w:rsidR="00937803">
        <w:t>der PtG-Anlage und</w:t>
      </w:r>
      <w:r w:rsidR="00C13862">
        <w:t xml:space="preserve"> die </w:t>
      </w:r>
      <w:r w:rsidR="00561A1D">
        <w:t>Anforderungen an grünen Wasserstoff.</w:t>
      </w:r>
      <w:r w:rsidR="001B7808">
        <w:t xml:space="preserve"> So wird angenommen, dass die</w:t>
      </w:r>
      <w:r w:rsidR="00592812">
        <w:t xml:space="preserve"> normierte</w:t>
      </w:r>
      <w:r w:rsidR="001B7808">
        <w:t xml:space="preserve"> Einspeisung von Windstrom </w:t>
      </w:r>
      <w:r w:rsidR="00592812">
        <w:t xml:space="preserve">und der Betrieb der PtG-Anlage </w:t>
      </w:r>
      <w:r w:rsidR="00561A1D">
        <w:t xml:space="preserve">für grünen Wasserstoff </w:t>
      </w:r>
      <w:r w:rsidR="00592812">
        <w:t>viertelstündlich ausgeglichen sein muss.</w:t>
      </w:r>
      <w:r w:rsidR="009A1204">
        <w:t xml:space="preserve"> </w:t>
      </w:r>
    </w:p>
    <w:p w14:paraId="03125FE7" w14:textId="252ADD5B" w:rsidR="000210D3" w:rsidRDefault="009A1204" w:rsidP="00227125">
      <w:r>
        <w:t xml:space="preserve">Als Ergebnis lassen sich Erlösverteilungen der PtG-Anlage für </w:t>
      </w:r>
      <w:r w:rsidR="00C36412">
        <w:t>zahlreiche</w:t>
      </w:r>
      <w:r>
        <w:t xml:space="preserve"> Windeinspeiseszenarien </w:t>
      </w:r>
      <w:r w:rsidR="000210D3">
        <w:t>bestimmen.</w:t>
      </w:r>
      <w:r w:rsidR="00870BA3">
        <w:t xml:space="preserve"> </w:t>
      </w:r>
      <w:commentRangeStart w:id="3"/>
      <w:r w:rsidR="00AA298F">
        <w:t xml:space="preserve">Zudem werden </w:t>
      </w:r>
      <w:r w:rsidR="000210D3">
        <w:t>Sensitivitäten auf den exogenen Wasserstoffpreis und die zeitliche Korrelation zwischen EE- und PtG-Erzeugung</w:t>
      </w:r>
      <w:r w:rsidR="00AA298F">
        <w:t xml:space="preserve"> berechnet und interpretiert</w:t>
      </w:r>
      <w:r w:rsidR="00E30CF8">
        <w:t>.</w:t>
      </w:r>
      <w:r w:rsidR="006B0678">
        <w:t xml:space="preserve"> Als Zielgröß</w:t>
      </w:r>
      <w:r w:rsidR="00B65348">
        <w:t xml:space="preserve">en </w:t>
      </w:r>
      <w:r w:rsidR="00AA298F">
        <w:t>wird der</w:t>
      </w:r>
      <w:r w:rsidR="00B65348">
        <w:t xml:space="preserve"> Deckungsbeitrag der PtG-Anlage, </w:t>
      </w:r>
      <w:r w:rsidR="00AA298F">
        <w:t>der</w:t>
      </w:r>
      <w:r w:rsidR="00B65348">
        <w:t xml:space="preserve"> durchschnittliche operative Wasserstoffpreis</w:t>
      </w:r>
      <w:r w:rsidR="00807191">
        <w:t xml:space="preserve"> und die Co2-Intensität des erzeugten Wasserstoffs</w:t>
      </w:r>
      <w:r w:rsidR="00AA298F">
        <w:t xml:space="preserve"> betrachtet</w:t>
      </w:r>
      <w:r w:rsidR="00807191">
        <w:t>.</w:t>
      </w:r>
      <w:commentRangeEnd w:id="3"/>
      <w:r w:rsidR="00AA298F">
        <w:rPr>
          <w:rStyle w:val="Kommentarzeichen"/>
        </w:rPr>
        <w:commentReference w:id="3"/>
      </w:r>
    </w:p>
    <w:p w14:paraId="41227B2C" w14:textId="77777777" w:rsidR="005E4D4F" w:rsidRPr="005E4D4F" w:rsidRDefault="005E4D4F" w:rsidP="005E4D4F">
      <w:pPr>
        <w:pStyle w:val="Ueberschrift"/>
      </w:pPr>
      <w:commentRangeStart w:id="4"/>
      <w:r w:rsidRPr="005E4D4F">
        <w:t>Ergebnisse und Schlussfolgerungen</w:t>
      </w:r>
      <w:commentRangeEnd w:id="4"/>
      <w:r w:rsidR="00E30CF8">
        <w:rPr>
          <w:rStyle w:val="Kommentarzeichen"/>
          <w:b w:val="0"/>
          <w:spacing w:val="0"/>
          <w:lang w:eastAsia="ko-KR"/>
        </w:rPr>
        <w:commentReference w:id="4"/>
      </w:r>
    </w:p>
    <w:p w14:paraId="41227B2D" w14:textId="6A17C310" w:rsidR="005E4D4F" w:rsidRDefault="00572342" w:rsidP="00227125">
      <w:r>
        <w:t xml:space="preserve">Es werden drei </w:t>
      </w:r>
      <w:commentRangeStart w:id="5"/>
      <w:r w:rsidR="00EE1518">
        <w:t>Ergebnisdimensionen aus</w:t>
      </w:r>
      <w:r>
        <w:t>gewertet</w:t>
      </w:r>
      <w:r w:rsidR="00EE1518">
        <w:t xml:space="preserve">. </w:t>
      </w:r>
      <w:r w:rsidR="00AF24A1">
        <w:t xml:space="preserve">Erstens werden die Verteilungen der absoluten Deckungsbeiträge und die Sensitivitäten </w:t>
      </w:r>
      <w:r w:rsidR="00DD48AE">
        <w:t>analysiert. Diese Ergebnisse</w:t>
      </w:r>
      <w:r w:rsidR="00D46D1D">
        <w:t xml:space="preserve"> werden</w:t>
      </w:r>
      <w:r w:rsidR="00DD48AE">
        <w:t xml:space="preserve"> daraufhin </w:t>
      </w:r>
      <w:r w:rsidR="00926520">
        <w:t>im Kontext von Investitionen in PtG-Anlagen anhand der Annuität und gängigen Risikomaße</w:t>
      </w:r>
      <w:r w:rsidR="00D46D1D">
        <w:t xml:space="preserve"> interpretiert</w:t>
      </w:r>
      <w:r w:rsidR="00926520">
        <w:t xml:space="preserve">. </w:t>
      </w:r>
      <w:r w:rsidR="00D46D1D">
        <w:t>Zuletzt werden</w:t>
      </w:r>
      <w:r w:rsidR="00793170">
        <w:t xml:space="preserve"> </w:t>
      </w:r>
      <w:r w:rsidR="0074458A">
        <w:t>im Kontext dieser Risiken</w:t>
      </w:r>
      <w:r w:rsidR="00793170">
        <w:t xml:space="preserve"> </w:t>
      </w:r>
      <w:r w:rsidR="0074458A">
        <w:t>Förderinstrumente</w:t>
      </w:r>
      <w:r w:rsidR="00793170">
        <w:t xml:space="preserve"> diskutiert</w:t>
      </w:r>
      <w:r w:rsidR="0074458A">
        <w:t>.</w:t>
      </w:r>
      <w:commentRangeEnd w:id="5"/>
      <w:r w:rsidR="00FC0254">
        <w:rPr>
          <w:rStyle w:val="Kommentarzeichen"/>
        </w:rPr>
        <w:commentReference w:id="5"/>
      </w:r>
    </w:p>
    <w:p w14:paraId="1B0A7D9B" w14:textId="3E30283B" w:rsidR="0074458A" w:rsidRDefault="003E630F" w:rsidP="00227125">
      <w:r>
        <w:t xml:space="preserve">Für 100 </w:t>
      </w:r>
      <w:r w:rsidR="000158D7">
        <w:t xml:space="preserve">zufällig gezogene Wetterrealisationen ergibt sich bei </w:t>
      </w:r>
      <w:r w:rsidR="00594083">
        <w:t xml:space="preserve">einer zeitlichen Korrelation von </w:t>
      </w:r>
      <w:r w:rsidR="00FE4056">
        <w:t xml:space="preserve">einer Stunde Wasserstoffgestehungskosten </w:t>
      </w:r>
      <w:r w:rsidR="00290CA9">
        <w:t xml:space="preserve">wie </w:t>
      </w:r>
      <w:r w:rsidR="00D5073D">
        <w:t>in Abbildung 1 links</w:t>
      </w:r>
      <w:r w:rsidR="00290CA9">
        <w:t xml:space="preserve"> dargestellt</w:t>
      </w:r>
      <w:r w:rsidR="00D5073D">
        <w:t xml:space="preserve">. </w:t>
      </w:r>
      <w:r w:rsidR="009C7ED8">
        <w:t>Abhängig von der realisierten EE-Einspeisung beweg</w:t>
      </w:r>
      <w:r w:rsidR="00FE4056">
        <w:t xml:space="preserve">en sich die Wasserstoffgestehungskosten zwischen </w:t>
      </w:r>
      <w:r w:rsidR="00A4461E">
        <w:t>4 und 8 Euro pro kg</w:t>
      </w:r>
      <w:r w:rsidR="00236351">
        <w:t xml:space="preserve">. </w:t>
      </w:r>
      <w:r w:rsidR="009E5ED0">
        <w:t xml:space="preserve">Die rechte Abbildung zeigt die </w:t>
      </w:r>
      <w:r w:rsidR="00A4461E">
        <w:t>Wasserstoffgestehungskosten für eine zeitliche Auflösung von 24 Stunden</w:t>
      </w:r>
      <w:r w:rsidR="009E5ED0">
        <w:t xml:space="preserve">. Dabei </w:t>
      </w:r>
      <w:r w:rsidR="00627499">
        <w:t>zeigt sich der</w:t>
      </w:r>
      <w:r w:rsidR="009E5ED0">
        <w:t xml:space="preserve"> Effekt</w:t>
      </w:r>
      <w:r w:rsidR="006E7348">
        <w:t xml:space="preserve"> niedrigerer Anforderungen an grünen Wasserstoff. </w:t>
      </w:r>
      <w:r w:rsidR="00AF4157">
        <w:t>So liegen hier die Wasserstoffgestehungskosten zwischen 3,5 und 6,5 Euro pro kg</w:t>
      </w:r>
      <w:r w:rsidR="00F5495E">
        <w:t xml:space="preserve">. </w:t>
      </w:r>
      <w:r w:rsidR="004C4174">
        <w:t>Bei strengerer zeitlicher Korrelation</w:t>
      </w:r>
      <w:r w:rsidR="00C55108">
        <w:t xml:space="preserve"> steigen demnach die Wasserstoffgestehungskosten, da der Elektrolyseur weniger Freiheitsgerade hat in Stunden </w:t>
      </w:r>
      <w:r w:rsidR="004C4174">
        <w:t>mit niedrigem Strompreis</w:t>
      </w:r>
      <w:r w:rsidR="00C55108">
        <w:t xml:space="preserve"> zu fahren</w:t>
      </w:r>
      <w:r w:rsidR="004C4174">
        <w:t>.</w:t>
      </w:r>
      <w:r w:rsidR="00807F8A">
        <w:t xml:space="preserve"> </w:t>
      </w:r>
      <w:r w:rsidR="004C4174">
        <w:t xml:space="preserve">In beiden Fällen </w:t>
      </w:r>
      <w:r w:rsidR="00AB0E6F">
        <w:t>sind somit die PtG-Anlagen ohne</w:t>
      </w:r>
      <w:r w:rsidR="00B17408">
        <w:t xml:space="preserve"> Subventionen bei hohen Anforderungen an grünen Wasserstoff aktuell nicht rentabel. </w:t>
      </w:r>
      <w:r w:rsidR="00D338F9">
        <w:t>Bei Förderungen sollte die Abhängigkeit de</w:t>
      </w:r>
      <w:r w:rsidR="00DC33B2">
        <w:t xml:space="preserve">s Deckungsbeitrags von der realisierten EE-Einspeisung berücksichtigt werden. </w:t>
      </w:r>
      <w:r w:rsidR="00C87D4A">
        <w:t>Aus Reguliererperspektive besteht so das Risiko einer Unter- bzw. Überförderung der PtG-Projekte.</w:t>
      </w:r>
    </w:p>
    <w:p w14:paraId="50DFB612" w14:textId="77777777" w:rsidR="009B11D5" w:rsidRPr="005E4D4F" w:rsidRDefault="009B11D5" w:rsidP="00227125"/>
    <w:p w14:paraId="63EE90AC" w14:textId="5230F857" w:rsidR="00793170" w:rsidRDefault="00793170" w:rsidP="00793170"/>
    <w:p w14:paraId="0409C759" w14:textId="77777777" w:rsidR="00793170" w:rsidRDefault="00793170" w:rsidP="00793170">
      <w:pPr>
        <w:keepNext/>
        <w:jc w:val="center"/>
      </w:pPr>
      <w:commentRangeStart w:id="6"/>
      <w:commentRangeStart w:id="7"/>
      <w:r>
        <w:rPr>
          <w:noProof/>
        </w:rPr>
        <w:drawing>
          <wp:inline distT="0" distB="0" distL="0" distR="0" wp14:anchorId="2C13EBF2" wp14:editId="169247A1">
            <wp:extent cx="2697674" cy="1800000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7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940E0" wp14:editId="20A78A34">
            <wp:extent cx="2700000" cy="1796896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79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14AEC" w14:textId="579F8F9F" w:rsidR="00793170" w:rsidRDefault="00793170" w:rsidP="00793170">
      <w:pPr>
        <w:pStyle w:val="Beschriftung"/>
        <w:jc w:val="center"/>
      </w:pPr>
      <w:r>
        <w:t xml:space="preserve">Abbildung </w:t>
      </w:r>
      <w:fldSimple w:instr=" SEQ Abbildung \* ARABIC ">
        <w:r>
          <w:rPr>
            <w:noProof/>
          </w:rPr>
          <w:t>1</w:t>
        </w:r>
      </w:fldSimple>
      <w:r>
        <w:t xml:space="preserve"> Die linke Abbildung zeigt </w:t>
      </w:r>
      <w:r w:rsidR="00711101">
        <w:t>Wasserstoffgestehungskosten (LCOH) für einstündliche Korrelation aus Windstrom- und Wasserstofferzeugung, im rechten Bild ist die Korrelation auf 24 Stunden erhöht</w:t>
      </w:r>
      <w:commentRangeEnd w:id="6"/>
      <w:r w:rsidR="00711101">
        <w:rPr>
          <w:rStyle w:val="Kommentarzeichen"/>
          <w:i w:val="0"/>
          <w:iCs w:val="0"/>
          <w:color w:val="auto"/>
        </w:rPr>
        <w:commentReference w:id="6"/>
      </w:r>
      <w:commentRangeEnd w:id="7"/>
      <w:r w:rsidR="00085E8F">
        <w:rPr>
          <w:rStyle w:val="Kommentarzeichen"/>
          <w:i w:val="0"/>
          <w:iCs w:val="0"/>
          <w:color w:val="auto"/>
        </w:rPr>
        <w:commentReference w:id="7"/>
      </w:r>
      <w:r>
        <w:t>.</w:t>
      </w:r>
    </w:p>
    <w:p w14:paraId="3BB403FD" w14:textId="77777777" w:rsidR="00793170" w:rsidRPr="00793170" w:rsidRDefault="00793170" w:rsidP="00793170"/>
    <w:p w14:paraId="490855E3" w14:textId="20C9FF58" w:rsidR="00FA7688" w:rsidRDefault="00FA7688" w:rsidP="00AD529F">
      <w:pPr>
        <w:jc w:val="center"/>
      </w:pPr>
    </w:p>
    <w:p w14:paraId="4B1B1904" w14:textId="699B9879" w:rsidR="00FA7688" w:rsidRDefault="00FA7688" w:rsidP="00227125"/>
    <w:p w14:paraId="11355AFD" w14:textId="77777777" w:rsidR="00FA7688" w:rsidRDefault="00FA7688" w:rsidP="00227125"/>
    <w:p w14:paraId="41227B31" w14:textId="77777777" w:rsidR="002946B8" w:rsidRPr="00803917" w:rsidRDefault="002946B8" w:rsidP="00227125"/>
    <w:p w14:paraId="41227B32" w14:textId="77777777" w:rsidR="005E4D4F" w:rsidRPr="005E4D4F" w:rsidRDefault="005E4D4F" w:rsidP="00A156E4">
      <w:pPr>
        <w:pStyle w:val="Ueberschrift"/>
      </w:pPr>
      <w:bookmarkStart w:id="8" w:name="_Toc26086066"/>
      <w:bookmarkStart w:id="9" w:name="_Toc68418491"/>
      <w:r w:rsidRPr="005E4D4F">
        <w:t>Literatur</w:t>
      </w:r>
      <w:bookmarkEnd w:id="8"/>
      <w:bookmarkEnd w:id="9"/>
    </w:p>
    <w:p w14:paraId="41227B33" w14:textId="5DF4EA7F" w:rsidR="005E4D4F" w:rsidRPr="0029377A" w:rsidRDefault="00483B87" w:rsidP="00227125">
      <w:pPr>
        <w:pStyle w:val="Literatur"/>
        <w:rPr>
          <w:lang w:val="en-US"/>
        </w:rPr>
      </w:pPr>
      <w:r>
        <w:t>[1]</w:t>
      </w:r>
      <w:r>
        <w:tab/>
      </w:r>
      <w:r w:rsidR="0087480D" w:rsidRPr="0087480D">
        <w:t xml:space="preserve">Glenk, Gunther, and Stefan Reichelstein. </w:t>
      </w:r>
      <w:r w:rsidR="0087480D" w:rsidRPr="0087480D">
        <w:rPr>
          <w:lang w:val="en-US"/>
        </w:rPr>
        <w:t xml:space="preserve">"Economics of converting renewable power to hydrogen." </w:t>
      </w:r>
      <w:r w:rsidR="0087480D" w:rsidRPr="0029377A">
        <w:rPr>
          <w:lang w:val="en-US"/>
        </w:rPr>
        <w:t>Nature Energy 4.3 (2019): 216-222.</w:t>
      </w:r>
    </w:p>
    <w:p w14:paraId="41227B34" w14:textId="0AB83739" w:rsidR="00010E92" w:rsidRPr="00AA298F" w:rsidRDefault="00483B87" w:rsidP="00227125">
      <w:pPr>
        <w:pStyle w:val="Literatur"/>
        <w:rPr>
          <w:color w:val="222222"/>
          <w:shd w:val="clear" w:color="auto" w:fill="FFFFFF"/>
          <w:lang w:val="en-US"/>
        </w:rPr>
      </w:pPr>
      <w:r w:rsidRPr="0029377A">
        <w:rPr>
          <w:lang w:val="en-US"/>
        </w:rPr>
        <w:t>[2]</w:t>
      </w:r>
      <w:r w:rsidRPr="0029377A">
        <w:rPr>
          <w:lang w:val="en-US"/>
        </w:rPr>
        <w:tab/>
      </w:r>
      <w:r w:rsidR="0029377A" w:rsidRPr="0029377A">
        <w:rPr>
          <w:color w:val="222222"/>
          <w:shd w:val="clear" w:color="auto" w:fill="FFFFFF"/>
          <w:lang w:val="en-US"/>
        </w:rPr>
        <w:t>Glenk, Gunther, and Stefan Reichelstein. "Synergistic value in vertically integrated power</w:t>
      </w:r>
      <w:r w:rsidR="0029377A" w:rsidRPr="0029377A">
        <w:rPr>
          <w:rFonts w:ascii="Cambria Math" w:hAnsi="Cambria Math" w:cs="Cambria Math"/>
          <w:color w:val="222222"/>
          <w:shd w:val="clear" w:color="auto" w:fill="FFFFFF"/>
          <w:lang w:val="en-US"/>
        </w:rPr>
        <w:t>‐</w:t>
      </w:r>
      <w:r w:rsidR="0029377A" w:rsidRPr="0029377A">
        <w:rPr>
          <w:color w:val="222222"/>
          <w:shd w:val="clear" w:color="auto" w:fill="FFFFFF"/>
          <w:lang w:val="en-US"/>
        </w:rPr>
        <w:t>to</w:t>
      </w:r>
      <w:r w:rsidR="0029377A" w:rsidRPr="0029377A">
        <w:rPr>
          <w:rFonts w:ascii="Cambria Math" w:hAnsi="Cambria Math" w:cs="Cambria Math"/>
          <w:color w:val="222222"/>
          <w:shd w:val="clear" w:color="auto" w:fill="FFFFFF"/>
          <w:lang w:val="en-US"/>
        </w:rPr>
        <w:t>‐</w:t>
      </w:r>
      <w:r w:rsidR="0029377A" w:rsidRPr="0029377A">
        <w:rPr>
          <w:color w:val="222222"/>
          <w:shd w:val="clear" w:color="auto" w:fill="FFFFFF"/>
          <w:lang w:val="en-US"/>
        </w:rPr>
        <w:t>gas energy systems." </w:t>
      </w:r>
      <w:r w:rsidR="0029377A" w:rsidRPr="00AA298F">
        <w:rPr>
          <w:i/>
          <w:iCs/>
          <w:color w:val="222222"/>
          <w:shd w:val="clear" w:color="auto" w:fill="FFFFFF"/>
          <w:lang w:val="en-US"/>
        </w:rPr>
        <w:t>Production and Operations Management</w:t>
      </w:r>
      <w:r w:rsidR="0029377A" w:rsidRPr="00AA298F">
        <w:rPr>
          <w:color w:val="222222"/>
          <w:shd w:val="clear" w:color="auto" w:fill="FFFFFF"/>
          <w:lang w:val="en-US"/>
        </w:rPr>
        <w:t> 29.3 (2020): 526-546.</w:t>
      </w:r>
    </w:p>
    <w:p w14:paraId="582B29AC" w14:textId="444CA366" w:rsidR="0029377A" w:rsidRPr="00227125" w:rsidRDefault="0029377A" w:rsidP="00227125">
      <w:pPr>
        <w:pStyle w:val="Literatur"/>
      </w:pPr>
      <w:r w:rsidRPr="00774FA2">
        <w:rPr>
          <w:color w:val="222222"/>
          <w:shd w:val="clear" w:color="auto" w:fill="FFFFFF"/>
          <w:lang w:val="en-US"/>
        </w:rPr>
        <w:t xml:space="preserve">[3] </w:t>
      </w:r>
      <w:r w:rsidR="00774FA2" w:rsidRPr="00774FA2">
        <w:rPr>
          <w:color w:val="222222"/>
          <w:shd w:val="clear" w:color="auto" w:fill="FFFFFF"/>
          <w:lang w:val="en-US"/>
        </w:rPr>
        <w:t>Elberg, Christina, and Simeon Hagspiel. "Spatial dependencies of wind power and interrelations with spot price dynamics." </w:t>
      </w:r>
      <w:r w:rsidR="00774FA2">
        <w:rPr>
          <w:i/>
          <w:iCs/>
          <w:color w:val="222222"/>
          <w:shd w:val="clear" w:color="auto" w:fill="FFFFFF"/>
        </w:rPr>
        <w:t>European Journal of Operational Research</w:t>
      </w:r>
      <w:r w:rsidR="00774FA2">
        <w:rPr>
          <w:color w:val="222222"/>
          <w:shd w:val="clear" w:color="auto" w:fill="FFFFFF"/>
        </w:rPr>
        <w:t> 241.1 (2015): 260-272.</w:t>
      </w:r>
    </w:p>
    <w:p w14:paraId="41227B35" w14:textId="77777777" w:rsidR="005E4D4F" w:rsidRDefault="005E4D4F" w:rsidP="00227125">
      <w:pPr>
        <w:pStyle w:val="Literatur"/>
      </w:pPr>
    </w:p>
    <w:sectPr w:rsidR="005E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vid Schlund | EWI" w:date="2021-05-30T11:53:00Z" w:initials="DS|E">
    <w:p w14:paraId="6C4D1092" w14:textId="52E15EF9" w:rsidR="00435785" w:rsidRDefault="00435785">
      <w:pPr>
        <w:pStyle w:val="Kommentartext"/>
      </w:pPr>
      <w:r>
        <w:rPr>
          <w:rStyle w:val="Kommentarzeichen"/>
        </w:rPr>
        <w:annotationRef/>
      </w:r>
      <w:r>
        <w:t>TBD</w:t>
      </w:r>
    </w:p>
  </w:comment>
  <w:comment w:id="1" w:author="David Schlund | EWI" w:date="2021-05-30T12:06:00Z" w:initials="DS|E">
    <w:p w14:paraId="7A95B07F" w14:textId="77777777" w:rsidR="00D64424" w:rsidRDefault="00D64424" w:rsidP="00D64424">
      <w:r>
        <w:rPr>
          <w:rStyle w:val="Kommentarzeichen"/>
        </w:rPr>
        <w:annotationRef/>
      </w:r>
      <w:r>
        <w:t>Text (max. 100 Wörter) (Arial, 10pt. einzeilig)</w:t>
      </w:r>
    </w:p>
    <w:p w14:paraId="5BA0E4B5" w14:textId="77777777" w:rsidR="00D64424" w:rsidRDefault="00D64424" w:rsidP="00D64424">
      <w:r>
        <w:t>Für Aufzählungen ist folgende Formatierung zu verwenden:</w:t>
      </w:r>
    </w:p>
    <w:p w14:paraId="4672E0C6" w14:textId="77777777" w:rsidR="00D64424" w:rsidRDefault="00D64424" w:rsidP="00D64424">
      <w:pPr>
        <w:numPr>
          <w:ilvl w:val="0"/>
          <w:numId w:val="3"/>
        </w:numPr>
      </w:pPr>
      <w:r>
        <w:t>Punkt 1</w:t>
      </w:r>
    </w:p>
    <w:p w14:paraId="4025F0C9" w14:textId="77777777" w:rsidR="00D64424" w:rsidRDefault="00D64424" w:rsidP="00D64424">
      <w:pPr>
        <w:numPr>
          <w:ilvl w:val="0"/>
          <w:numId w:val="4"/>
        </w:numPr>
      </w:pPr>
      <w:r>
        <w:t>Punkt 1.1</w:t>
      </w:r>
    </w:p>
    <w:p w14:paraId="1180B317" w14:textId="0A93153B" w:rsidR="00D64424" w:rsidRDefault="00D64424">
      <w:pPr>
        <w:pStyle w:val="Kommentartext"/>
      </w:pPr>
    </w:p>
  </w:comment>
  <w:comment w:id="2" w:author="David Schlund | EWI" w:date="2021-05-30T12:12:00Z" w:initials="DS|E">
    <w:p w14:paraId="1F4B67AD" w14:textId="77777777" w:rsidR="004B684D" w:rsidRDefault="004B684D" w:rsidP="004B684D">
      <w:r>
        <w:rPr>
          <w:rStyle w:val="Kommentarzeichen"/>
        </w:rPr>
        <w:annotationRef/>
      </w:r>
      <w:r>
        <w:t>Text (max. 200 Wörter) (Arial, 10pt. einzeilig)</w:t>
      </w:r>
    </w:p>
    <w:p w14:paraId="62021C9A" w14:textId="2AD52699" w:rsidR="004B684D" w:rsidRDefault="004B684D">
      <w:pPr>
        <w:pStyle w:val="Kommentartext"/>
      </w:pPr>
    </w:p>
  </w:comment>
  <w:comment w:id="3" w:author="David Schlund | EWI" w:date="2021-05-31T17:40:00Z" w:initials="DS|E">
    <w:p w14:paraId="787AA7C6" w14:textId="216172D1" w:rsidR="00AA298F" w:rsidRDefault="00AA298F">
      <w:pPr>
        <w:pStyle w:val="Kommentartext"/>
      </w:pPr>
      <w:r>
        <w:rPr>
          <w:rStyle w:val="Kommentarzeichen"/>
        </w:rPr>
        <w:annotationRef/>
      </w:r>
      <w:r>
        <w:t>Habe mal ins Passiv umformuliert</w:t>
      </w:r>
      <w:r w:rsidR="00572342">
        <w:t xml:space="preserve"> (hier und ff.)</w:t>
      </w:r>
    </w:p>
  </w:comment>
  <w:comment w:id="4" w:author="David Schlund | EWI" w:date="2021-05-30T12:30:00Z" w:initials="DS|E">
    <w:p w14:paraId="085D17B9" w14:textId="77777777" w:rsidR="00E30CF8" w:rsidRPr="005E4D4F" w:rsidRDefault="00E30CF8" w:rsidP="00E30CF8">
      <w:r>
        <w:rPr>
          <w:rStyle w:val="Kommentarzeichen"/>
        </w:rPr>
        <w:annotationRef/>
      </w:r>
      <w:r>
        <w:t xml:space="preserve">Text (max. 200 Wörter) (Arial, 10pt. einzeilig) </w:t>
      </w:r>
    </w:p>
    <w:p w14:paraId="4ACEE4C1" w14:textId="7663BA7E" w:rsidR="00E30CF8" w:rsidRDefault="00E30CF8">
      <w:pPr>
        <w:pStyle w:val="Kommentartext"/>
      </w:pPr>
    </w:p>
  </w:comment>
  <w:comment w:id="5" w:author="Philipp Theile | EWI" w:date="2021-05-30T20:50:00Z" w:initials="PT|E">
    <w:p w14:paraId="52DD10DB" w14:textId="77777777" w:rsidR="00FC0254" w:rsidRDefault="00FC0254">
      <w:pPr>
        <w:pStyle w:val="Kommentartext"/>
      </w:pPr>
      <w:r>
        <w:rPr>
          <w:rStyle w:val="Kommentarzeichen"/>
        </w:rPr>
        <w:annotationRef/>
      </w:r>
      <w:r>
        <w:t>Sollen wir das Deckungsbeitragshistogramm und die Funktionsverteilungen der Deckungsbeiträge für verschiedene zeitliche Korrelationen zeigen?</w:t>
      </w:r>
      <w:r w:rsidR="00326E38">
        <w:t xml:space="preserve"> Und vllt dann die Annuität einmal einzeichnen. Die könnte ich zumindest für 100 Sampel kurz erstellen bzw. hab ich schon. Oder wir nehmen Grafiken vom FCN-Seminar?</w:t>
      </w:r>
    </w:p>
    <w:p w14:paraId="04AEA467" w14:textId="369A2729" w:rsidR="00326E38" w:rsidRDefault="00326E38">
      <w:pPr>
        <w:pStyle w:val="Kommentartext"/>
      </w:pPr>
    </w:p>
  </w:comment>
  <w:comment w:id="6" w:author="David Schlund | EWI" w:date="2021-05-31T17:43:00Z" w:initials="DS|E">
    <w:p w14:paraId="1F55B79B" w14:textId="0FA0FA6B" w:rsidR="00711101" w:rsidRDefault="00711101">
      <w:pPr>
        <w:pStyle w:val="Kommentartext"/>
      </w:pPr>
      <w:r>
        <w:rPr>
          <w:rStyle w:val="Kommentarzeichen"/>
        </w:rPr>
        <w:annotationRef/>
      </w:r>
      <w:r>
        <w:t>Alternative Diagramme</w:t>
      </w:r>
    </w:p>
  </w:comment>
  <w:comment w:id="7" w:author="David Schlund | EWI" w:date="2021-05-31T17:44:00Z" w:initials="DS|E">
    <w:p w14:paraId="1783BD33" w14:textId="46521D59" w:rsidR="00085E8F" w:rsidRDefault="00085E8F">
      <w:pPr>
        <w:pStyle w:val="Kommentartext"/>
      </w:pPr>
      <w:r>
        <w:rPr>
          <w:rStyle w:val="Kommentarzeichen"/>
        </w:rPr>
        <w:annotationRef/>
      </w:r>
      <w:r>
        <w:t>Dann müssten wir den Text noch anpassen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4D1092" w15:done="1"/>
  <w15:commentEx w15:paraId="1180B317" w15:done="0"/>
  <w15:commentEx w15:paraId="62021C9A" w15:done="0"/>
  <w15:commentEx w15:paraId="787AA7C6" w15:done="0"/>
  <w15:commentEx w15:paraId="4ACEE4C1" w15:done="0"/>
  <w15:commentEx w15:paraId="04AEA467" w15:done="0"/>
  <w15:commentEx w15:paraId="1F55B79B" w15:done="0"/>
  <w15:commentEx w15:paraId="1783BD33" w15:paraIdParent="1F55B7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DFB47" w16cex:dateUtc="2021-05-30T09:53:00Z"/>
  <w16cex:commentExtensible w16cex:durableId="245DFE3D" w16cex:dateUtc="2021-05-30T10:06:00Z"/>
  <w16cex:commentExtensible w16cex:durableId="245DFFA4" w16cex:dateUtc="2021-05-30T10:12:00Z"/>
  <w16cex:commentExtensible w16cex:durableId="245F9DFA" w16cex:dateUtc="2021-05-31T15:40:00Z"/>
  <w16cex:commentExtensible w16cex:durableId="245E03D2" w16cex:dateUtc="2021-05-30T10:30:00Z"/>
  <w16cex:commentExtensible w16cex:durableId="245E78FA" w16cex:dateUtc="2021-05-30T18:50:00Z"/>
  <w16cex:commentExtensible w16cex:durableId="245F9ED7" w16cex:dateUtc="2021-05-31T15:43:00Z"/>
  <w16cex:commentExtensible w16cex:durableId="245F9F16" w16cex:dateUtc="2021-05-31T1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4D1092" w16cid:durableId="245DFB47"/>
  <w16cid:commentId w16cid:paraId="1180B317" w16cid:durableId="245DFE3D"/>
  <w16cid:commentId w16cid:paraId="62021C9A" w16cid:durableId="245DFFA4"/>
  <w16cid:commentId w16cid:paraId="787AA7C6" w16cid:durableId="245F9DFA"/>
  <w16cid:commentId w16cid:paraId="4ACEE4C1" w16cid:durableId="245E03D2"/>
  <w16cid:commentId w16cid:paraId="04AEA467" w16cid:durableId="245E78FA"/>
  <w16cid:commentId w16cid:paraId="1F55B79B" w16cid:durableId="245F9ED7"/>
  <w16cid:commentId w16cid:paraId="1783BD33" w16cid:durableId="245F9F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9A31" w14:textId="77777777" w:rsidR="00EA5516" w:rsidRDefault="00EA5516">
      <w:r>
        <w:separator/>
      </w:r>
    </w:p>
  </w:endnote>
  <w:endnote w:type="continuationSeparator" w:id="0">
    <w:p w14:paraId="174A3D5C" w14:textId="77777777" w:rsidR="00EA5516" w:rsidRDefault="00EA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5B5C" w14:textId="77777777" w:rsidR="00EA5516" w:rsidRDefault="00EA5516">
      <w:r>
        <w:separator/>
      </w:r>
    </w:p>
  </w:footnote>
  <w:footnote w:type="continuationSeparator" w:id="0">
    <w:p w14:paraId="67EA27A2" w14:textId="77777777" w:rsidR="00EA5516" w:rsidRDefault="00EA5516">
      <w:r>
        <w:continuationSeparator/>
      </w:r>
    </w:p>
  </w:footnote>
  <w:footnote w:id="1">
    <w:p w14:paraId="41227B3C" w14:textId="2B5AE9E9" w:rsidR="00D53E86" w:rsidRPr="00FB69AE" w:rsidRDefault="00D53E86" w:rsidP="002014D3">
      <w:r w:rsidRPr="00A115D2">
        <w:rPr>
          <w:rStyle w:val="Funotenzeichen"/>
        </w:rPr>
        <w:footnoteRef/>
      </w:r>
      <w:r w:rsidRPr="00D53E86">
        <w:t xml:space="preserve"> </w:t>
      </w:r>
      <w:r w:rsidR="00734300">
        <w:t xml:space="preserve">Jungautor, </w:t>
      </w:r>
      <w:r w:rsidR="001411C8">
        <w:t>Vogelsanger Straße 321a</w:t>
      </w:r>
      <w:r w:rsidR="00E520E6">
        <w:t xml:space="preserve">, </w:t>
      </w:r>
      <w:r w:rsidR="007945D5">
        <w:t>+49 221 – 277 29-210</w:t>
      </w:r>
      <w:r w:rsidR="00A6148D">
        <w:t>,</w:t>
      </w:r>
      <w:r w:rsidR="00FD5D56">
        <w:t xml:space="preserve"> </w:t>
      </w:r>
      <w:r w:rsidR="00734300">
        <w:t>philipp.theile@ewi.uni-koeln.de</w:t>
      </w:r>
      <w:r>
        <w:t xml:space="preserve">, </w:t>
      </w:r>
      <w:r w:rsidR="00734300" w:rsidRPr="00734300">
        <w:t>https://www.ewi.uni-koeln.de/de/team/philipp-theile/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Schlund | EWI">
    <w15:presenceInfo w15:providerId="AD" w15:userId="S::David.Schlund@ewi.uni-koeln.de::00272c2a-d16f-4eb8-86ba-c28bcace438c"/>
  </w15:person>
  <w15:person w15:author="Philipp Theile | EWI">
    <w15:presenceInfo w15:providerId="AD" w15:userId="S::Philipp.Theile@ewi.uni-koeln.de::389f5144-a239-4438-b72c-100d5483c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0158D7"/>
    <w:rsid w:val="000210D3"/>
    <w:rsid w:val="00085E8F"/>
    <w:rsid w:val="000929F9"/>
    <w:rsid w:val="00105A36"/>
    <w:rsid w:val="001373D5"/>
    <w:rsid w:val="001411C8"/>
    <w:rsid w:val="00155716"/>
    <w:rsid w:val="001B7808"/>
    <w:rsid w:val="001D7C06"/>
    <w:rsid w:val="001E0140"/>
    <w:rsid w:val="002014D3"/>
    <w:rsid w:val="00221501"/>
    <w:rsid w:val="00224AA2"/>
    <w:rsid w:val="00227125"/>
    <w:rsid w:val="00236351"/>
    <w:rsid w:val="00262FD5"/>
    <w:rsid w:val="002666A2"/>
    <w:rsid w:val="00290CA9"/>
    <w:rsid w:val="0029377A"/>
    <w:rsid w:val="002946B8"/>
    <w:rsid w:val="0030454F"/>
    <w:rsid w:val="00326E38"/>
    <w:rsid w:val="00350F98"/>
    <w:rsid w:val="00351409"/>
    <w:rsid w:val="00372E07"/>
    <w:rsid w:val="003B676F"/>
    <w:rsid w:val="003C28FE"/>
    <w:rsid w:val="003E630F"/>
    <w:rsid w:val="00402F9D"/>
    <w:rsid w:val="00420613"/>
    <w:rsid w:val="00432BE1"/>
    <w:rsid w:val="00435785"/>
    <w:rsid w:val="00443EFF"/>
    <w:rsid w:val="00457759"/>
    <w:rsid w:val="00483B87"/>
    <w:rsid w:val="004B684D"/>
    <w:rsid w:val="004C4174"/>
    <w:rsid w:val="004F3437"/>
    <w:rsid w:val="00536F3D"/>
    <w:rsid w:val="00561A1D"/>
    <w:rsid w:val="005643FE"/>
    <w:rsid w:val="00572342"/>
    <w:rsid w:val="00592812"/>
    <w:rsid w:val="00594083"/>
    <w:rsid w:val="005B02BF"/>
    <w:rsid w:val="005B1ADB"/>
    <w:rsid w:val="005D7C2B"/>
    <w:rsid w:val="005E4D4F"/>
    <w:rsid w:val="00617755"/>
    <w:rsid w:val="00627499"/>
    <w:rsid w:val="00662525"/>
    <w:rsid w:val="006B0678"/>
    <w:rsid w:val="006C2BB1"/>
    <w:rsid w:val="006E7348"/>
    <w:rsid w:val="00711101"/>
    <w:rsid w:val="00734300"/>
    <w:rsid w:val="007378C8"/>
    <w:rsid w:val="00741EC0"/>
    <w:rsid w:val="0074458A"/>
    <w:rsid w:val="0074489E"/>
    <w:rsid w:val="00774FA2"/>
    <w:rsid w:val="00793170"/>
    <w:rsid w:val="007945D5"/>
    <w:rsid w:val="00803917"/>
    <w:rsid w:val="00807191"/>
    <w:rsid w:val="00807F8A"/>
    <w:rsid w:val="008406E1"/>
    <w:rsid w:val="008658FD"/>
    <w:rsid w:val="00870BA3"/>
    <w:rsid w:val="0087480D"/>
    <w:rsid w:val="00926520"/>
    <w:rsid w:val="00937803"/>
    <w:rsid w:val="009A1204"/>
    <w:rsid w:val="009B11D5"/>
    <w:rsid w:val="009C7ED8"/>
    <w:rsid w:val="009E5ED0"/>
    <w:rsid w:val="00A07737"/>
    <w:rsid w:val="00A156E4"/>
    <w:rsid w:val="00A4461E"/>
    <w:rsid w:val="00A51EC0"/>
    <w:rsid w:val="00A6148D"/>
    <w:rsid w:val="00A65A7F"/>
    <w:rsid w:val="00AA0726"/>
    <w:rsid w:val="00AA298F"/>
    <w:rsid w:val="00AB0E6F"/>
    <w:rsid w:val="00AD529F"/>
    <w:rsid w:val="00AF24A1"/>
    <w:rsid w:val="00AF4157"/>
    <w:rsid w:val="00B06D28"/>
    <w:rsid w:val="00B17408"/>
    <w:rsid w:val="00B65348"/>
    <w:rsid w:val="00BB3F10"/>
    <w:rsid w:val="00BD7E63"/>
    <w:rsid w:val="00BF05FA"/>
    <w:rsid w:val="00C13862"/>
    <w:rsid w:val="00C20686"/>
    <w:rsid w:val="00C36412"/>
    <w:rsid w:val="00C55108"/>
    <w:rsid w:val="00C717C3"/>
    <w:rsid w:val="00C87D4A"/>
    <w:rsid w:val="00CA3E71"/>
    <w:rsid w:val="00CD3EEE"/>
    <w:rsid w:val="00CE1A70"/>
    <w:rsid w:val="00D338F9"/>
    <w:rsid w:val="00D444EE"/>
    <w:rsid w:val="00D46D1D"/>
    <w:rsid w:val="00D5073D"/>
    <w:rsid w:val="00D53E86"/>
    <w:rsid w:val="00D60342"/>
    <w:rsid w:val="00D64424"/>
    <w:rsid w:val="00D736F8"/>
    <w:rsid w:val="00D9373F"/>
    <w:rsid w:val="00DC33B2"/>
    <w:rsid w:val="00DD48AE"/>
    <w:rsid w:val="00DE54B4"/>
    <w:rsid w:val="00E07E1A"/>
    <w:rsid w:val="00E30CF8"/>
    <w:rsid w:val="00E520E6"/>
    <w:rsid w:val="00E92E5F"/>
    <w:rsid w:val="00EA43BD"/>
    <w:rsid w:val="00EA5516"/>
    <w:rsid w:val="00EE1518"/>
    <w:rsid w:val="00EE51CD"/>
    <w:rsid w:val="00F2746D"/>
    <w:rsid w:val="00F51E78"/>
    <w:rsid w:val="00F5495E"/>
    <w:rsid w:val="00FA470E"/>
    <w:rsid w:val="00FA7688"/>
    <w:rsid w:val="00FB69AE"/>
    <w:rsid w:val="00FC0254"/>
    <w:rsid w:val="00FD5D56"/>
    <w:rsid w:val="00FE405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27B1E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57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578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5785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57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5785"/>
    <w:rPr>
      <w:rFonts w:ascii="Arial" w:hAnsi="Arial"/>
      <w:b/>
      <w:bCs/>
      <w:lang w:eastAsia="ko-KR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51E7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6808E01179164499C403FCE967BD86" ma:contentTypeVersion="2" ma:contentTypeDescription="Ein neues Dokument erstellen." ma:contentTypeScope="" ma:versionID="6e68edf2ae69efd05adbe32ad0c8fc58">
  <xsd:schema xmlns:xsd="http://www.w3.org/2001/XMLSchema" xmlns:xs="http://www.w3.org/2001/XMLSchema" xmlns:p="http://schemas.microsoft.com/office/2006/metadata/properties" xmlns:ns2="1baf8082-7bdf-4259-8c77-d2f41e877de2" targetNamespace="http://schemas.microsoft.com/office/2006/metadata/properties" ma:root="true" ma:fieldsID="a235b80ec4943c01da2a97759791d9dc" ns2:_="">
    <xsd:import namespace="1baf8082-7bdf-4259-8c77-d2f41e877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f8082-7bdf-4259-8c77-d2f41e877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98124-8568-4850-9BEF-F981C2356F98}">
  <ds:schemaRefs>
    <ds:schemaRef ds:uri="1baf8082-7bdf-4259-8c77-d2f41e877de2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F0BD7B-CE1E-4018-A978-DDE08D0FD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0EF18-6F83-4A3A-8CE8-2FB6BC852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f8082-7bdf-4259-8c77-d2f41e877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Philipp Theile | EWI</cp:lastModifiedBy>
  <cp:revision>109</cp:revision>
  <dcterms:created xsi:type="dcterms:W3CDTF">2021-04-15T18:55:00Z</dcterms:created>
  <dcterms:modified xsi:type="dcterms:W3CDTF">2021-06-21T16:21:00Z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0x010100F16808E01179164499C403FCE967BD86</vt:lpwstr>
  </property>
</Properties>
</file>