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36DD" w14:textId="0DF13554" w:rsidR="00702611" w:rsidRDefault="00702611" w:rsidP="00A156E4">
      <w:pPr>
        <w:pStyle w:val="AutorenOrganisation"/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</w:pP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Are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local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energy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and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climate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action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plans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aligned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to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national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and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EU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climate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 w:rsidRPr="00702611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targets?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An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assessment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of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25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SEAP/SECAP</w:t>
      </w:r>
      <w:r w:rsidR="004628F6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s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across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5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learning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networks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in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5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EU</w:t>
      </w:r>
      <w:r w:rsidR="004E6560"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 xml:space="preserve">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GB" w:eastAsia="en-US"/>
        </w:rPr>
        <w:t>Countries</w:t>
      </w:r>
    </w:p>
    <w:p w14:paraId="122FE623" w14:textId="709FAEBA" w:rsidR="00BF05FA" w:rsidRPr="00826F39" w:rsidRDefault="00702611" w:rsidP="00A156E4">
      <w:pPr>
        <w:pStyle w:val="AutorenOrganisation"/>
        <w:rPr>
          <w:lang w:val="en-GB"/>
        </w:rPr>
      </w:pPr>
      <w:r w:rsidRPr="00826F39">
        <w:rPr>
          <w:lang w:val="en-GB"/>
        </w:rPr>
        <w:t>Local</w:t>
      </w:r>
      <w:r w:rsidR="004E6560" w:rsidRPr="00826F39">
        <w:rPr>
          <w:lang w:val="en-GB"/>
        </w:rPr>
        <w:t xml:space="preserve"> </w:t>
      </w:r>
      <w:r w:rsidRPr="00826F39">
        <w:rPr>
          <w:lang w:val="en-GB"/>
        </w:rPr>
        <w:t>Climate</w:t>
      </w:r>
      <w:r w:rsidR="004E6560" w:rsidRPr="00826F39">
        <w:rPr>
          <w:lang w:val="en-GB"/>
        </w:rPr>
        <w:t xml:space="preserve"> </w:t>
      </w:r>
      <w:r w:rsidRPr="00826F39">
        <w:rPr>
          <w:lang w:val="en-GB"/>
        </w:rPr>
        <w:t>Action</w:t>
      </w:r>
    </w:p>
    <w:p w14:paraId="529C98FE" w14:textId="69D69D1E" w:rsidR="005E4D4F" w:rsidRPr="002C0AE1" w:rsidRDefault="00702611" w:rsidP="00A156E4">
      <w:pPr>
        <w:pStyle w:val="AutorenOrganisation"/>
        <w:rPr>
          <w:lang w:val="en-GB"/>
        </w:rPr>
      </w:pPr>
      <w:r w:rsidRPr="00826F39">
        <w:rPr>
          <w:lang w:val="en-GB"/>
        </w:rPr>
        <w:t>Giulia</w:t>
      </w:r>
      <w:r w:rsidR="004E6560" w:rsidRPr="00826F39">
        <w:rPr>
          <w:lang w:val="en-GB"/>
        </w:rPr>
        <w:t xml:space="preserve"> </w:t>
      </w:r>
      <w:r w:rsidRPr="002C0AE1">
        <w:rPr>
          <w:lang w:val="en-GB"/>
        </w:rPr>
        <w:t>CONFORTO</w:t>
      </w:r>
      <w:r w:rsidR="002C0AE1" w:rsidRPr="00370436" w:rsidDel="002C0AE1">
        <w:rPr>
          <w:vertAlign w:val="superscript"/>
          <w:lang w:val="en-GB"/>
        </w:rPr>
        <w:t xml:space="preserve"> </w:t>
      </w:r>
      <w:r w:rsidR="00A156E4" w:rsidRPr="002C0AE1">
        <w:rPr>
          <w:vertAlign w:val="superscript"/>
          <w:lang w:val="en-GB"/>
        </w:rPr>
        <w:t>(1)</w:t>
      </w:r>
      <w:r w:rsidR="005E4D4F" w:rsidRPr="002C0AE1">
        <w:rPr>
          <w:lang w:val="en-GB"/>
        </w:rPr>
        <w:t>,</w:t>
      </w:r>
      <w:r w:rsidR="004E6560" w:rsidRPr="002C0AE1">
        <w:rPr>
          <w:lang w:val="en-GB"/>
        </w:rPr>
        <w:t xml:space="preserve"> </w:t>
      </w:r>
      <w:r w:rsidR="004628F6" w:rsidRPr="002C0AE1">
        <w:rPr>
          <w:lang w:val="en-GB"/>
        </w:rPr>
        <w:t>Marcus HUMMEL</w:t>
      </w:r>
      <w:r w:rsidR="00A156E4" w:rsidRPr="002C0AE1">
        <w:rPr>
          <w:vertAlign w:val="superscript"/>
          <w:lang w:val="en-GB"/>
        </w:rPr>
        <w:t>(</w:t>
      </w:r>
      <w:r w:rsidR="004628F6" w:rsidRPr="002C0AE1">
        <w:rPr>
          <w:vertAlign w:val="superscript"/>
          <w:lang w:val="en-GB"/>
        </w:rPr>
        <w:t>1</w:t>
      </w:r>
      <w:r w:rsidR="00A156E4" w:rsidRPr="002C0AE1">
        <w:rPr>
          <w:vertAlign w:val="superscript"/>
          <w:lang w:val="en-GB"/>
        </w:rPr>
        <w:t>)</w:t>
      </w:r>
    </w:p>
    <w:p w14:paraId="5CA61EAA" w14:textId="0C4EF450" w:rsidR="005E4D4F" w:rsidRPr="00826F39" w:rsidRDefault="00A156E4" w:rsidP="005E4D4F">
      <w:pPr>
        <w:pStyle w:val="AutorenOrganisation"/>
        <w:rPr>
          <w:lang w:val="en-GB"/>
        </w:rPr>
      </w:pPr>
      <w:r w:rsidRPr="002C0AE1">
        <w:rPr>
          <w:vertAlign w:val="superscript"/>
          <w:lang w:val="en-GB"/>
        </w:rPr>
        <w:t>(</w:t>
      </w:r>
      <w:r w:rsidR="00010E92" w:rsidRPr="002C0AE1">
        <w:rPr>
          <w:vertAlign w:val="superscript"/>
          <w:lang w:val="en-GB"/>
        </w:rPr>
        <w:t>1</w:t>
      </w:r>
      <w:r w:rsidRPr="002C0AE1">
        <w:rPr>
          <w:vertAlign w:val="superscript"/>
          <w:lang w:val="en-GB"/>
        </w:rPr>
        <w:t>)</w:t>
      </w:r>
      <w:r w:rsidR="00702611" w:rsidRPr="002C0AE1">
        <w:rPr>
          <w:lang w:val="en-GB"/>
        </w:rPr>
        <w:t>e-think</w:t>
      </w:r>
      <w:r w:rsidR="007B0EAC">
        <w:rPr>
          <w:lang w:val="en-GB"/>
        </w:rPr>
        <w:t xml:space="preserve"> energy research</w:t>
      </w:r>
    </w:p>
    <w:p w14:paraId="6BF34A27" w14:textId="77777777" w:rsidR="00A07737" w:rsidRPr="00826F39" w:rsidRDefault="00A07737" w:rsidP="00FB69AE">
      <w:pPr>
        <w:rPr>
          <w:lang w:val="en-GB"/>
        </w:rPr>
      </w:pPr>
    </w:p>
    <w:p w14:paraId="6F70B7AC" w14:textId="3FDCAB83" w:rsidR="005E4D4F" w:rsidRPr="00826F39" w:rsidRDefault="005E4D4F" w:rsidP="005E4D4F">
      <w:pPr>
        <w:pStyle w:val="Ueberschrift"/>
        <w:rPr>
          <w:lang w:val="en-GB"/>
        </w:rPr>
      </w:pPr>
      <w:r w:rsidRPr="00826F39">
        <w:rPr>
          <w:lang w:val="en-GB"/>
        </w:rPr>
        <w:t>Motivation</w:t>
      </w:r>
      <w:r w:rsidR="004E6560" w:rsidRPr="00826F39">
        <w:rPr>
          <w:lang w:val="en-GB"/>
        </w:rPr>
        <w:t xml:space="preserve"> </w:t>
      </w:r>
      <w:r w:rsidR="004628F6" w:rsidRPr="00826F39">
        <w:rPr>
          <w:lang w:val="en-GB"/>
        </w:rPr>
        <w:t>and research question</w:t>
      </w:r>
    </w:p>
    <w:p w14:paraId="5D4B7191" w14:textId="3250AB68" w:rsidR="00A32D3B" w:rsidRPr="00370436" w:rsidRDefault="00A32D3B" w:rsidP="00A32D3B">
      <w:pPr>
        <w:rPr>
          <w:lang w:val="en-GB"/>
        </w:rPr>
      </w:pPr>
    </w:p>
    <w:p w14:paraId="4A188C00" w14:textId="68681C4D" w:rsidR="00A32D3B" w:rsidRDefault="00A32D3B" w:rsidP="00A32D3B">
      <w:pPr>
        <w:rPr>
          <w:lang w:val="en-GB"/>
        </w:rPr>
      </w:pPr>
      <w:r w:rsidRPr="00A32D3B">
        <w:rPr>
          <w:lang w:val="en-GB"/>
        </w:rPr>
        <w:t>The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transition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to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</w:t>
      </w:r>
      <w:r w:rsidR="004E6560">
        <w:rPr>
          <w:lang w:val="en-GB"/>
        </w:rPr>
        <w:t xml:space="preserve"> </w:t>
      </w:r>
      <w:r>
        <w:rPr>
          <w:lang w:val="en-GB"/>
        </w:rPr>
        <w:t>sustainable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energy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system</w:t>
      </w:r>
      <w:r w:rsidR="004E6560">
        <w:rPr>
          <w:lang w:val="en-GB"/>
        </w:rPr>
        <w:t xml:space="preserve"> </w:t>
      </w:r>
      <w:r>
        <w:rPr>
          <w:lang w:val="en-GB"/>
        </w:rPr>
        <w:t>is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endorsed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at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global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scale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and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multiple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level</w:t>
      </w:r>
      <w:r w:rsidR="00C4638B">
        <w:rPr>
          <w:lang w:val="en-GB"/>
        </w:rPr>
        <w:t xml:space="preserve"> </w:t>
      </w:r>
      <w:r w:rsidR="00C4638B" w:rsidRPr="00C4638B">
        <w:rPr>
          <w:lang w:val="en-GB"/>
        </w:rPr>
        <w:t>[1-</w:t>
      </w:r>
      <w:r w:rsidR="00C4638B">
        <w:rPr>
          <w:lang w:val="en-GB"/>
        </w:rPr>
        <w:t>4</w:t>
      </w:r>
      <w:r w:rsidR="00C4638B" w:rsidRPr="00C4638B">
        <w:rPr>
          <w:lang w:val="en-GB"/>
        </w:rPr>
        <w:t>]</w:t>
      </w:r>
      <w:r>
        <w:rPr>
          <w:lang w:val="en-GB"/>
        </w:rPr>
        <w:t>.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</w:t>
      </w:r>
      <w:r w:rsidR="001214B1">
        <w:rPr>
          <w:lang w:val="en-GB"/>
        </w:rPr>
        <w:t>n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example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of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multilevel</w:t>
      </w:r>
      <w:r w:rsidR="00826F39">
        <w:rPr>
          <w:lang w:val="en-GB"/>
        </w:rPr>
        <w:t>-</w:t>
      </w:r>
      <w:r>
        <w:rPr>
          <w:lang w:val="en-GB"/>
        </w:rPr>
        <w:t>governance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is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the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Covenant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of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Mayors</w:t>
      </w:r>
      <w:r w:rsidR="004628F6">
        <w:rPr>
          <w:lang w:val="en-GB"/>
        </w:rPr>
        <w:t xml:space="preserve"> </w:t>
      </w:r>
      <w:r>
        <w:rPr>
          <w:lang w:val="en-GB"/>
        </w:rPr>
        <w:t>(CoM)</w:t>
      </w:r>
      <w:r w:rsidR="004628F6">
        <w:rPr>
          <w:lang w:val="en-GB"/>
        </w:rPr>
        <w:t xml:space="preserve"> initiative</w:t>
      </w:r>
      <w:r>
        <w:rPr>
          <w:lang w:val="en-GB"/>
        </w:rPr>
        <w:t>,</w:t>
      </w:r>
      <w:r w:rsidR="004E6560">
        <w:rPr>
          <w:lang w:val="en-GB"/>
        </w:rPr>
        <w:t xml:space="preserve"> </w:t>
      </w:r>
      <w:r>
        <w:rPr>
          <w:lang w:val="en-GB"/>
        </w:rPr>
        <w:t>requir</w:t>
      </w:r>
      <w:r w:rsidR="001214B1">
        <w:rPr>
          <w:lang w:val="en-GB"/>
        </w:rPr>
        <w:t>ing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its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signatories</w:t>
      </w:r>
      <w:r w:rsidR="004E6560">
        <w:rPr>
          <w:lang w:val="en-GB"/>
        </w:rPr>
        <w:t xml:space="preserve"> </w:t>
      </w:r>
      <w:r>
        <w:rPr>
          <w:lang w:val="en-GB"/>
        </w:rPr>
        <w:t>to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submit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Sustainable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Energy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Action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Plan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(</w:t>
      </w:r>
      <w:r w:rsidRPr="00A32D3B">
        <w:rPr>
          <w:lang w:val="en-GB"/>
        </w:rPr>
        <w:t>SEAP</w:t>
      </w:r>
      <w:r w:rsidR="001214B1">
        <w:rPr>
          <w:lang w:val="en-GB"/>
        </w:rPr>
        <w:t>/SECAP)</w:t>
      </w:r>
      <w:r w:rsidR="00C4638B">
        <w:rPr>
          <w:lang w:val="en-GB"/>
        </w:rPr>
        <w:t xml:space="preserve"> </w:t>
      </w:r>
      <w:r w:rsidR="00C4638B" w:rsidRPr="00C4638B">
        <w:rPr>
          <w:lang w:val="en-GB"/>
        </w:rPr>
        <w:t>[</w:t>
      </w:r>
      <w:r w:rsidR="00C4638B">
        <w:rPr>
          <w:lang w:val="en-GB"/>
        </w:rPr>
        <w:t>5-7</w:t>
      </w:r>
      <w:r w:rsidR="00C4638B" w:rsidRPr="00C4638B">
        <w:rPr>
          <w:lang w:val="en-GB"/>
        </w:rPr>
        <w:t>]</w:t>
      </w:r>
      <w:r>
        <w:rPr>
          <w:lang w:val="en-GB"/>
        </w:rPr>
        <w:t>.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However,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it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is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not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clear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how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solid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and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aligned</w:t>
      </w:r>
      <w:r w:rsidR="00635D60">
        <w:rPr>
          <w:lang w:val="en-GB"/>
        </w:rPr>
        <w:t xml:space="preserve"> to EU/national targets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th</w:t>
      </w:r>
      <w:r w:rsidR="004E6560">
        <w:rPr>
          <w:lang w:val="en-GB"/>
        </w:rPr>
        <w:t xml:space="preserve">e </w:t>
      </w:r>
      <w:r w:rsidR="004E6560" w:rsidRPr="00A32D3B">
        <w:rPr>
          <w:lang w:val="en-GB"/>
        </w:rPr>
        <w:t>SEAP</w:t>
      </w:r>
      <w:r w:rsidR="004E6560">
        <w:rPr>
          <w:lang w:val="en-GB"/>
        </w:rPr>
        <w:t>/SECAPs are</w:t>
      </w:r>
      <w:r w:rsidR="00C4638B">
        <w:rPr>
          <w:lang w:val="en-GB"/>
        </w:rPr>
        <w:t xml:space="preserve"> </w:t>
      </w:r>
      <w:r w:rsidR="00C4638B" w:rsidRPr="00C4638B">
        <w:rPr>
          <w:lang w:val="en-GB"/>
        </w:rPr>
        <w:t>[</w:t>
      </w:r>
      <w:r w:rsidR="00C4638B">
        <w:rPr>
          <w:lang w:val="en-GB"/>
        </w:rPr>
        <w:t>8</w:t>
      </w:r>
      <w:r w:rsidR="0049149B">
        <w:rPr>
          <w:lang w:val="en-GB"/>
        </w:rPr>
        <w:t>-15</w:t>
      </w:r>
      <w:r w:rsidR="00C4638B" w:rsidRPr="00C4638B">
        <w:rPr>
          <w:lang w:val="en-GB"/>
        </w:rPr>
        <w:t>]</w:t>
      </w:r>
      <w:r w:rsidR="001214B1">
        <w:rPr>
          <w:lang w:val="en-GB"/>
        </w:rPr>
        <w:t>.</w:t>
      </w:r>
      <w:r w:rsidR="004E6560">
        <w:rPr>
          <w:lang w:val="en-GB"/>
        </w:rPr>
        <w:t xml:space="preserve"> A </w:t>
      </w:r>
      <w:r w:rsidRPr="00A32D3B">
        <w:rPr>
          <w:lang w:val="en-GB"/>
        </w:rPr>
        <w:t>selection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of</w:t>
      </w:r>
      <w:r w:rsidR="004E6560">
        <w:rPr>
          <w:lang w:val="en-GB"/>
        </w:rPr>
        <w:t xml:space="preserve"> </w:t>
      </w:r>
      <w:r>
        <w:rPr>
          <w:lang w:val="en-GB"/>
        </w:rPr>
        <w:t>25</w:t>
      </w:r>
      <w:r w:rsidR="004E6560">
        <w:rPr>
          <w:lang w:val="en-GB"/>
        </w:rPr>
        <w:t xml:space="preserve"> </w:t>
      </w:r>
      <w:r w:rsidR="00635D60">
        <w:rPr>
          <w:lang w:val="en-GB"/>
        </w:rPr>
        <w:t>action plans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across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5</w:t>
      </w:r>
      <w:r w:rsidR="004E6560">
        <w:rPr>
          <w:lang w:val="en-GB"/>
        </w:rPr>
        <w:t xml:space="preserve"> </w:t>
      </w:r>
      <w:r>
        <w:rPr>
          <w:lang w:val="en-GB"/>
        </w:rPr>
        <w:t>European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networks</w:t>
      </w:r>
      <w:r w:rsidR="004E6560">
        <w:rPr>
          <w:lang w:val="en-GB"/>
        </w:rPr>
        <w:t xml:space="preserve"> </w:t>
      </w:r>
      <w:r>
        <w:rPr>
          <w:lang w:val="en-GB"/>
        </w:rPr>
        <w:t>of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municipalities,</w:t>
      </w:r>
      <w:r w:rsidR="004E6560">
        <w:rPr>
          <w:lang w:val="en-GB"/>
        </w:rPr>
        <w:t xml:space="preserve"> is analysed trying </w:t>
      </w:r>
      <w:r>
        <w:rPr>
          <w:lang w:val="en-GB"/>
        </w:rPr>
        <w:t>to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answer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the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research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questions: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“Do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SEAPs</w:t>
      </w:r>
      <w:r w:rsidR="001214B1">
        <w:rPr>
          <w:lang w:val="en-GB"/>
        </w:rPr>
        <w:t>/</w:t>
      </w:r>
      <w:r w:rsidRPr="00A32D3B">
        <w:rPr>
          <w:lang w:val="en-GB"/>
        </w:rPr>
        <w:t>SECAPs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contain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elements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helping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their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successful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implementation?”,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“</w:t>
      </w:r>
      <w:r w:rsidR="004E6560">
        <w:rPr>
          <w:lang w:val="en-GB"/>
        </w:rPr>
        <w:t xml:space="preserve">Where </w:t>
      </w:r>
      <w:r w:rsidR="004628F6">
        <w:rPr>
          <w:lang w:val="en-GB"/>
        </w:rPr>
        <w:t xml:space="preserve">do </w:t>
      </w:r>
      <w:r w:rsidRPr="00A32D3B">
        <w:rPr>
          <w:lang w:val="en-GB"/>
        </w:rPr>
        <w:t>SEAPs/SECAPs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show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room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for</w:t>
      </w:r>
      <w:r w:rsidR="004E6560">
        <w:rPr>
          <w:lang w:val="en-GB"/>
        </w:rPr>
        <w:t xml:space="preserve"> </w:t>
      </w:r>
      <w:r w:rsidR="001214B1">
        <w:rPr>
          <w:lang w:val="en-GB"/>
        </w:rPr>
        <w:t>improvement</w:t>
      </w:r>
      <w:r w:rsidRPr="00A32D3B">
        <w:rPr>
          <w:lang w:val="en-GB"/>
        </w:rPr>
        <w:t>?”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and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“Are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local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climate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action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plans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aligned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to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national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and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European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climate</w:t>
      </w:r>
      <w:r w:rsidR="004E6560">
        <w:rPr>
          <w:lang w:val="en-GB"/>
        </w:rPr>
        <w:t xml:space="preserve"> </w:t>
      </w:r>
      <w:r w:rsidRPr="00A32D3B">
        <w:rPr>
          <w:lang w:val="en-GB"/>
        </w:rPr>
        <w:t>targets?”.</w:t>
      </w:r>
    </w:p>
    <w:p w14:paraId="17343057" w14:textId="77777777" w:rsidR="00A32D3B" w:rsidRDefault="00A32D3B" w:rsidP="00A32D3B">
      <w:pPr>
        <w:rPr>
          <w:lang w:val="en-GB"/>
        </w:rPr>
      </w:pPr>
    </w:p>
    <w:p w14:paraId="78B9C1A2" w14:textId="77777777" w:rsidR="005E4D4F" w:rsidRPr="00A32D3B" w:rsidRDefault="005E4D4F" w:rsidP="00227125">
      <w:pPr>
        <w:rPr>
          <w:lang w:val="en-GB"/>
        </w:rPr>
      </w:pPr>
    </w:p>
    <w:p w14:paraId="09465406" w14:textId="5738F9FB" w:rsidR="005E4D4F" w:rsidRPr="00370436" w:rsidRDefault="004628F6" w:rsidP="005E4D4F">
      <w:pPr>
        <w:pStyle w:val="Ueberschrift"/>
        <w:rPr>
          <w:lang w:val="en-GB"/>
        </w:rPr>
      </w:pPr>
      <w:r w:rsidRPr="00370436">
        <w:rPr>
          <w:lang w:val="en-GB"/>
        </w:rPr>
        <w:t>Methodology</w:t>
      </w:r>
    </w:p>
    <w:p w14:paraId="538FCD22" w14:textId="4C3B1A16" w:rsidR="005E4D4F" w:rsidRPr="00370436" w:rsidRDefault="005E4D4F" w:rsidP="00227125">
      <w:pPr>
        <w:rPr>
          <w:lang w:val="en-GB"/>
        </w:rPr>
      </w:pPr>
    </w:p>
    <w:p w14:paraId="0B82CD6C" w14:textId="22565894" w:rsidR="004E6560" w:rsidRDefault="004E6560" w:rsidP="004E6560">
      <w:pPr>
        <w:rPr>
          <w:lang w:val="en-GB"/>
        </w:rPr>
      </w:pPr>
      <w:r w:rsidRPr="004E6560">
        <w:rPr>
          <w:lang w:val="en-GB"/>
        </w:rPr>
        <w:t>The</w:t>
      </w:r>
      <w:r>
        <w:rPr>
          <w:lang w:val="en-GB"/>
        </w:rPr>
        <w:t xml:space="preserve"> </w:t>
      </w:r>
      <w:r w:rsidRPr="004E6560">
        <w:rPr>
          <w:lang w:val="en-GB"/>
        </w:rPr>
        <w:t>study</w:t>
      </w:r>
      <w:r>
        <w:rPr>
          <w:lang w:val="en-GB"/>
        </w:rPr>
        <w:t xml:space="preserve"> </w:t>
      </w:r>
      <w:r w:rsidRPr="004E6560">
        <w:rPr>
          <w:lang w:val="en-GB"/>
        </w:rPr>
        <w:t>proceeds</w:t>
      </w:r>
      <w:r>
        <w:rPr>
          <w:lang w:val="en-GB"/>
        </w:rPr>
        <w:t xml:space="preserve"> </w:t>
      </w:r>
      <w:r w:rsidRPr="004E6560">
        <w:rPr>
          <w:lang w:val="en-GB"/>
        </w:rPr>
        <w:t>in</w:t>
      </w:r>
      <w:r>
        <w:rPr>
          <w:lang w:val="en-GB"/>
        </w:rPr>
        <w:t xml:space="preserve"> </w:t>
      </w:r>
      <w:r w:rsidRPr="004E6560">
        <w:rPr>
          <w:lang w:val="en-GB"/>
        </w:rPr>
        <w:t>subsequent</w:t>
      </w:r>
      <w:r>
        <w:rPr>
          <w:lang w:val="en-GB"/>
        </w:rPr>
        <w:t xml:space="preserve"> </w:t>
      </w:r>
      <w:r w:rsidRPr="004E6560">
        <w:rPr>
          <w:lang w:val="en-GB"/>
        </w:rPr>
        <w:t>steps</w:t>
      </w:r>
      <w:r>
        <w:rPr>
          <w:lang w:val="en-GB"/>
        </w:rPr>
        <w:t xml:space="preserve"> </w:t>
      </w:r>
      <w:r w:rsidRPr="004E6560">
        <w:rPr>
          <w:lang w:val="en-GB"/>
        </w:rPr>
        <w:t>to</w:t>
      </w:r>
      <w:r>
        <w:rPr>
          <w:lang w:val="en-GB"/>
        </w:rPr>
        <w:t xml:space="preserve"> </w:t>
      </w:r>
      <w:r w:rsidRPr="004E6560">
        <w:rPr>
          <w:lang w:val="en-GB"/>
        </w:rPr>
        <w:t>identify</w:t>
      </w:r>
      <w:r>
        <w:rPr>
          <w:lang w:val="en-GB"/>
        </w:rPr>
        <w:t xml:space="preserve"> </w:t>
      </w:r>
      <w:r w:rsidRPr="004E6560">
        <w:rPr>
          <w:lang w:val="en-GB"/>
        </w:rPr>
        <w:t>the</w:t>
      </w:r>
      <w:r>
        <w:rPr>
          <w:lang w:val="en-GB"/>
        </w:rPr>
        <w:t xml:space="preserve"> </w:t>
      </w:r>
      <w:r w:rsidRPr="004E6560">
        <w:rPr>
          <w:lang w:val="en-GB"/>
        </w:rPr>
        <w:t>singularities</w:t>
      </w:r>
      <w:r>
        <w:rPr>
          <w:lang w:val="en-GB"/>
        </w:rPr>
        <w:t xml:space="preserve"> </w:t>
      </w:r>
      <w:r w:rsidRPr="004E6560">
        <w:rPr>
          <w:lang w:val="en-GB"/>
        </w:rPr>
        <w:t>of</w:t>
      </w:r>
      <w:r>
        <w:rPr>
          <w:lang w:val="en-GB"/>
        </w:rPr>
        <w:t xml:space="preserve"> </w:t>
      </w:r>
      <w:r w:rsidRPr="004E6560">
        <w:rPr>
          <w:lang w:val="en-GB"/>
        </w:rPr>
        <w:t>the</w:t>
      </w:r>
      <w:r>
        <w:rPr>
          <w:lang w:val="en-GB"/>
        </w:rPr>
        <w:t xml:space="preserve"> </w:t>
      </w:r>
      <w:r w:rsidRPr="004E6560">
        <w:rPr>
          <w:lang w:val="en-GB"/>
        </w:rPr>
        <w:t>selected</w:t>
      </w:r>
      <w:r>
        <w:rPr>
          <w:lang w:val="en-GB"/>
        </w:rPr>
        <w:t xml:space="preserve"> </w:t>
      </w:r>
      <w:r w:rsidRPr="004E6560">
        <w:rPr>
          <w:lang w:val="en-GB"/>
        </w:rPr>
        <w:t>municipalities,</w:t>
      </w:r>
      <w:r>
        <w:rPr>
          <w:lang w:val="en-GB"/>
        </w:rPr>
        <w:t xml:space="preserve"> </w:t>
      </w:r>
      <w:r w:rsidRPr="004E6560">
        <w:rPr>
          <w:lang w:val="en-GB"/>
        </w:rPr>
        <w:t>the</w:t>
      </w:r>
      <w:r>
        <w:rPr>
          <w:lang w:val="en-GB"/>
        </w:rPr>
        <w:t xml:space="preserve"> </w:t>
      </w:r>
      <w:r w:rsidRPr="004E6560">
        <w:rPr>
          <w:lang w:val="en-GB"/>
        </w:rPr>
        <w:t>strengths</w:t>
      </w:r>
      <w:r>
        <w:rPr>
          <w:lang w:val="en-GB"/>
        </w:rPr>
        <w:t xml:space="preserve"> </w:t>
      </w:r>
      <w:r w:rsidRPr="004E6560">
        <w:rPr>
          <w:lang w:val="en-GB"/>
        </w:rPr>
        <w:t>and</w:t>
      </w:r>
      <w:r>
        <w:rPr>
          <w:lang w:val="en-GB"/>
        </w:rPr>
        <w:t xml:space="preserve"> </w:t>
      </w:r>
      <w:r w:rsidRPr="004E6560">
        <w:rPr>
          <w:lang w:val="en-GB"/>
        </w:rPr>
        <w:t>weaknesses</w:t>
      </w:r>
      <w:r>
        <w:rPr>
          <w:lang w:val="en-GB"/>
        </w:rPr>
        <w:t xml:space="preserve"> </w:t>
      </w:r>
      <w:r w:rsidRPr="004E6560">
        <w:rPr>
          <w:lang w:val="en-GB"/>
        </w:rPr>
        <w:t>of</w:t>
      </w:r>
      <w:r>
        <w:rPr>
          <w:lang w:val="en-GB"/>
        </w:rPr>
        <w:t xml:space="preserve"> </w:t>
      </w:r>
      <w:r w:rsidRPr="004E6560">
        <w:rPr>
          <w:lang w:val="en-GB"/>
        </w:rPr>
        <w:t>their</w:t>
      </w:r>
      <w:r>
        <w:rPr>
          <w:lang w:val="en-GB"/>
        </w:rPr>
        <w:t xml:space="preserve"> </w:t>
      </w:r>
      <w:r w:rsidRPr="004E6560">
        <w:rPr>
          <w:lang w:val="en-GB"/>
        </w:rPr>
        <w:t>current</w:t>
      </w:r>
      <w:r>
        <w:rPr>
          <w:lang w:val="en-GB"/>
        </w:rPr>
        <w:t xml:space="preserve"> </w:t>
      </w:r>
      <w:r w:rsidRPr="004E6560">
        <w:rPr>
          <w:lang w:val="en-GB"/>
        </w:rPr>
        <w:t>energy</w:t>
      </w:r>
      <w:r>
        <w:rPr>
          <w:lang w:val="en-GB"/>
        </w:rPr>
        <w:t xml:space="preserve"> </w:t>
      </w:r>
      <w:r w:rsidRPr="004E6560">
        <w:rPr>
          <w:lang w:val="en-GB"/>
        </w:rPr>
        <w:t>and</w:t>
      </w:r>
      <w:r>
        <w:rPr>
          <w:lang w:val="en-GB"/>
        </w:rPr>
        <w:t xml:space="preserve"> </w:t>
      </w:r>
      <w:r w:rsidRPr="004E6560">
        <w:rPr>
          <w:lang w:val="en-GB"/>
        </w:rPr>
        <w:t>emission</w:t>
      </w:r>
      <w:r>
        <w:rPr>
          <w:lang w:val="en-GB"/>
        </w:rPr>
        <w:t xml:space="preserve"> </w:t>
      </w:r>
      <w:r w:rsidRPr="004E6560">
        <w:rPr>
          <w:lang w:val="en-GB"/>
        </w:rPr>
        <w:t>profiles,</w:t>
      </w:r>
      <w:r>
        <w:rPr>
          <w:lang w:val="en-GB"/>
        </w:rPr>
        <w:t xml:space="preserve"> </w:t>
      </w:r>
      <w:r w:rsidRPr="004E6560">
        <w:rPr>
          <w:lang w:val="en-GB"/>
        </w:rPr>
        <w:t>a</w:t>
      </w:r>
      <w:r w:rsidR="00CE3187">
        <w:rPr>
          <w:lang w:val="en-GB"/>
        </w:rPr>
        <w:t>nd</w:t>
      </w:r>
      <w:r>
        <w:rPr>
          <w:lang w:val="en-GB"/>
        </w:rPr>
        <w:t xml:space="preserve"> </w:t>
      </w:r>
      <w:r w:rsidRPr="004E6560">
        <w:rPr>
          <w:lang w:val="en-GB"/>
        </w:rPr>
        <w:t>th</w:t>
      </w:r>
      <w:r w:rsidR="00CE3187">
        <w:rPr>
          <w:lang w:val="en-GB"/>
        </w:rPr>
        <w:t>e</w:t>
      </w:r>
      <w:r>
        <w:rPr>
          <w:lang w:val="en-GB"/>
        </w:rPr>
        <w:t xml:space="preserve"> </w:t>
      </w:r>
      <w:r w:rsidRPr="004E6560">
        <w:rPr>
          <w:lang w:val="en-GB"/>
        </w:rPr>
        <w:t>chances</w:t>
      </w:r>
      <w:r>
        <w:rPr>
          <w:lang w:val="en-GB"/>
        </w:rPr>
        <w:t xml:space="preserve"> </w:t>
      </w:r>
      <w:r w:rsidRPr="004E6560">
        <w:rPr>
          <w:lang w:val="en-GB"/>
        </w:rPr>
        <w:t>to</w:t>
      </w:r>
      <w:r>
        <w:rPr>
          <w:lang w:val="en-GB"/>
        </w:rPr>
        <w:t xml:space="preserve"> successfully implement </w:t>
      </w:r>
      <w:r w:rsidRPr="004E6560">
        <w:rPr>
          <w:lang w:val="en-GB"/>
        </w:rPr>
        <w:t>their action plans.</w:t>
      </w:r>
    </w:p>
    <w:p w14:paraId="68D12533" w14:textId="77777777" w:rsidR="004E6560" w:rsidRPr="004E6560" w:rsidRDefault="004E6560" w:rsidP="004E6560">
      <w:pPr>
        <w:rPr>
          <w:lang w:val="en-GB"/>
        </w:rPr>
      </w:pPr>
    </w:p>
    <w:p w14:paraId="299381E8" w14:textId="02D6C2EC" w:rsidR="004E6560" w:rsidRDefault="004E6560" w:rsidP="004E6560">
      <w:pPr>
        <w:rPr>
          <w:lang w:val="en-GB"/>
        </w:rPr>
      </w:pPr>
      <w:r w:rsidRPr="004E6560">
        <w:rPr>
          <w:lang w:val="en-GB"/>
        </w:rPr>
        <w:t>First,</w:t>
      </w:r>
      <w:r>
        <w:rPr>
          <w:lang w:val="en-GB"/>
        </w:rPr>
        <w:t xml:space="preserve"> </w:t>
      </w:r>
      <w:r w:rsidRPr="004E6560">
        <w:rPr>
          <w:lang w:val="en-GB"/>
        </w:rPr>
        <w:t>participating</w:t>
      </w:r>
      <w:r>
        <w:rPr>
          <w:lang w:val="en-GB"/>
        </w:rPr>
        <w:t xml:space="preserve"> </w:t>
      </w:r>
      <w:r w:rsidRPr="004E6560">
        <w:rPr>
          <w:lang w:val="en-GB"/>
        </w:rPr>
        <w:t>municipalities</w:t>
      </w:r>
      <w:r>
        <w:rPr>
          <w:lang w:val="en-GB"/>
        </w:rPr>
        <w:t xml:space="preserve"> </w:t>
      </w:r>
      <w:r w:rsidRPr="004E6560">
        <w:rPr>
          <w:lang w:val="en-GB"/>
        </w:rPr>
        <w:t>are</w:t>
      </w:r>
      <w:r>
        <w:rPr>
          <w:lang w:val="en-GB"/>
        </w:rPr>
        <w:t xml:space="preserve"> </w:t>
      </w:r>
      <w:r w:rsidRPr="004E6560">
        <w:rPr>
          <w:lang w:val="en-GB"/>
        </w:rPr>
        <w:t>compared</w:t>
      </w:r>
      <w:r>
        <w:rPr>
          <w:lang w:val="en-GB"/>
        </w:rPr>
        <w:t xml:space="preserve"> </w:t>
      </w:r>
      <w:r w:rsidRPr="004E6560">
        <w:rPr>
          <w:lang w:val="en-GB"/>
        </w:rPr>
        <w:t>based</w:t>
      </w:r>
      <w:r>
        <w:rPr>
          <w:lang w:val="en-GB"/>
        </w:rPr>
        <w:t xml:space="preserve"> </w:t>
      </w:r>
      <w:r w:rsidRPr="004E6560">
        <w:rPr>
          <w:lang w:val="en-GB"/>
        </w:rPr>
        <w:t>on</w:t>
      </w:r>
      <w:r>
        <w:rPr>
          <w:lang w:val="en-GB"/>
        </w:rPr>
        <w:t xml:space="preserve"> </w:t>
      </w:r>
      <w:r w:rsidRPr="004E6560">
        <w:rPr>
          <w:lang w:val="en-GB"/>
        </w:rPr>
        <w:t>structural</w:t>
      </w:r>
      <w:r>
        <w:rPr>
          <w:lang w:val="en-GB"/>
        </w:rPr>
        <w:t xml:space="preserve"> </w:t>
      </w:r>
      <w:r w:rsidRPr="004E6560">
        <w:rPr>
          <w:lang w:val="en-GB"/>
        </w:rPr>
        <w:t>and</w:t>
      </w:r>
      <w:r>
        <w:rPr>
          <w:lang w:val="en-GB"/>
        </w:rPr>
        <w:t xml:space="preserve"> </w:t>
      </w:r>
      <w:r w:rsidRPr="004E6560">
        <w:rPr>
          <w:lang w:val="en-GB"/>
        </w:rPr>
        <w:t>energy</w:t>
      </w:r>
      <w:r>
        <w:rPr>
          <w:lang w:val="en-GB"/>
        </w:rPr>
        <w:t xml:space="preserve"> </w:t>
      </w:r>
      <w:r w:rsidRPr="004E6560">
        <w:rPr>
          <w:lang w:val="en-GB"/>
        </w:rPr>
        <w:t>parameters</w:t>
      </w:r>
      <w:r>
        <w:rPr>
          <w:lang w:val="en-GB"/>
        </w:rPr>
        <w:t xml:space="preserve"> (</w:t>
      </w:r>
      <w:r w:rsidRPr="004E6560">
        <w:rPr>
          <w:lang w:val="en-GB"/>
        </w:rPr>
        <w:t>population,</w:t>
      </w:r>
      <w:r>
        <w:rPr>
          <w:lang w:val="en-GB"/>
        </w:rPr>
        <w:t xml:space="preserve"> </w:t>
      </w:r>
      <w:r w:rsidRPr="004E6560">
        <w:rPr>
          <w:lang w:val="en-GB"/>
        </w:rPr>
        <w:t>economy</w:t>
      </w:r>
      <w:r>
        <w:rPr>
          <w:lang w:val="en-GB"/>
        </w:rPr>
        <w:t xml:space="preserve"> </w:t>
      </w:r>
      <w:r w:rsidRPr="004E6560">
        <w:rPr>
          <w:lang w:val="en-GB"/>
        </w:rPr>
        <w:t>structure,</w:t>
      </w:r>
      <w:r>
        <w:rPr>
          <w:lang w:val="en-GB"/>
        </w:rPr>
        <w:t xml:space="preserve"> </w:t>
      </w:r>
      <w:r w:rsidRPr="004E6560">
        <w:rPr>
          <w:lang w:val="en-GB"/>
        </w:rPr>
        <w:t>employment,</w:t>
      </w:r>
      <w:r>
        <w:rPr>
          <w:lang w:val="en-GB"/>
        </w:rPr>
        <w:t xml:space="preserve"> </w:t>
      </w:r>
      <w:r w:rsidRPr="004E6560">
        <w:rPr>
          <w:lang w:val="en-GB"/>
        </w:rPr>
        <w:t>energy</w:t>
      </w:r>
      <w:r>
        <w:rPr>
          <w:lang w:val="en-GB"/>
        </w:rPr>
        <w:t xml:space="preserve"> </w:t>
      </w:r>
      <w:r w:rsidRPr="004E6560">
        <w:rPr>
          <w:lang w:val="en-GB"/>
        </w:rPr>
        <w:t>consumption</w:t>
      </w:r>
      <w:r>
        <w:rPr>
          <w:lang w:val="en-GB"/>
        </w:rPr>
        <w:t xml:space="preserve"> </w:t>
      </w:r>
      <w:r w:rsidRPr="004E6560">
        <w:rPr>
          <w:lang w:val="en-GB"/>
        </w:rPr>
        <w:t>and</w:t>
      </w:r>
      <w:r>
        <w:rPr>
          <w:lang w:val="en-GB"/>
        </w:rPr>
        <w:t xml:space="preserve"> </w:t>
      </w:r>
      <w:r w:rsidRPr="004E6560">
        <w:rPr>
          <w:lang w:val="en-GB"/>
        </w:rPr>
        <w:t>GHG</w:t>
      </w:r>
      <w:r>
        <w:rPr>
          <w:lang w:val="en-GB"/>
        </w:rPr>
        <w:t xml:space="preserve"> </w:t>
      </w:r>
      <w:r w:rsidRPr="004E6560">
        <w:rPr>
          <w:lang w:val="en-GB"/>
        </w:rPr>
        <w:t>emissions</w:t>
      </w:r>
      <w:r>
        <w:rPr>
          <w:lang w:val="en-GB"/>
        </w:rPr>
        <w:t xml:space="preserve">) </w:t>
      </w:r>
      <w:r w:rsidRPr="004E6560">
        <w:rPr>
          <w:lang w:val="en-GB"/>
        </w:rPr>
        <w:t>to</w:t>
      </w:r>
      <w:r>
        <w:rPr>
          <w:lang w:val="en-GB"/>
        </w:rPr>
        <w:t xml:space="preserve"> </w:t>
      </w:r>
      <w:r w:rsidRPr="004E6560">
        <w:rPr>
          <w:lang w:val="en-GB"/>
        </w:rPr>
        <w:t>understand</w:t>
      </w:r>
      <w:r>
        <w:rPr>
          <w:lang w:val="en-GB"/>
        </w:rPr>
        <w:t xml:space="preserve"> </w:t>
      </w:r>
      <w:r w:rsidRPr="004E6560">
        <w:rPr>
          <w:lang w:val="en-GB"/>
        </w:rPr>
        <w:t>their</w:t>
      </w:r>
      <w:r>
        <w:rPr>
          <w:lang w:val="en-GB"/>
        </w:rPr>
        <w:t xml:space="preserve"> </w:t>
      </w:r>
      <w:r w:rsidRPr="004E6560">
        <w:rPr>
          <w:lang w:val="en-GB"/>
        </w:rPr>
        <w:t>distinctive</w:t>
      </w:r>
      <w:r>
        <w:rPr>
          <w:lang w:val="en-GB"/>
        </w:rPr>
        <w:t xml:space="preserve"> </w:t>
      </w:r>
      <w:r w:rsidRPr="004E6560">
        <w:rPr>
          <w:lang w:val="en-GB"/>
        </w:rPr>
        <w:t>features.</w:t>
      </w:r>
      <w:r>
        <w:rPr>
          <w:lang w:val="en-GB"/>
        </w:rPr>
        <w:t xml:space="preserve"> </w:t>
      </w:r>
      <w:r w:rsidR="00CE3187">
        <w:rPr>
          <w:lang w:val="en-GB"/>
        </w:rPr>
        <w:t>F</w:t>
      </w:r>
      <w:r w:rsidRPr="004E6560">
        <w:rPr>
          <w:lang w:val="en-GB"/>
        </w:rPr>
        <w:t>urther</w:t>
      </w:r>
      <w:r>
        <w:rPr>
          <w:lang w:val="en-GB"/>
        </w:rPr>
        <w:t xml:space="preserve"> </w:t>
      </w:r>
      <w:r w:rsidRPr="004E6560">
        <w:rPr>
          <w:lang w:val="en-GB"/>
        </w:rPr>
        <w:t>insight</w:t>
      </w:r>
      <w:r>
        <w:rPr>
          <w:lang w:val="en-GB"/>
        </w:rPr>
        <w:t xml:space="preserve"> </w:t>
      </w:r>
      <w:r w:rsidRPr="004E6560">
        <w:rPr>
          <w:lang w:val="en-GB"/>
        </w:rPr>
        <w:t>is</w:t>
      </w:r>
      <w:r>
        <w:rPr>
          <w:lang w:val="en-GB"/>
        </w:rPr>
        <w:t xml:space="preserve"> </w:t>
      </w:r>
      <w:r w:rsidRPr="004E6560">
        <w:rPr>
          <w:lang w:val="en-GB"/>
        </w:rPr>
        <w:t>provided</w:t>
      </w:r>
      <w:r>
        <w:rPr>
          <w:lang w:val="en-GB"/>
        </w:rPr>
        <w:t xml:space="preserve"> </w:t>
      </w:r>
      <w:r w:rsidRPr="004E6560">
        <w:rPr>
          <w:lang w:val="en-GB"/>
        </w:rPr>
        <w:t>through</w:t>
      </w:r>
      <w:r>
        <w:rPr>
          <w:lang w:val="en-GB"/>
        </w:rPr>
        <w:t xml:space="preserve"> </w:t>
      </w:r>
      <w:r w:rsidRPr="004E6560">
        <w:rPr>
          <w:lang w:val="en-GB"/>
        </w:rPr>
        <w:t>data</w:t>
      </w:r>
      <w:r>
        <w:rPr>
          <w:lang w:val="en-GB"/>
        </w:rPr>
        <w:t xml:space="preserve"> </w:t>
      </w:r>
      <w:r w:rsidRPr="004E6560">
        <w:rPr>
          <w:lang w:val="en-GB"/>
        </w:rPr>
        <w:t>extracted</w:t>
      </w:r>
      <w:r>
        <w:rPr>
          <w:lang w:val="en-GB"/>
        </w:rPr>
        <w:t xml:space="preserve"> </w:t>
      </w:r>
      <w:r w:rsidRPr="004E6560">
        <w:rPr>
          <w:lang w:val="en-GB"/>
        </w:rPr>
        <w:t>from</w:t>
      </w:r>
      <w:r>
        <w:rPr>
          <w:lang w:val="en-GB"/>
        </w:rPr>
        <w:t xml:space="preserve"> </w:t>
      </w:r>
      <w:r w:rsidRPr="004E6560">
        <w:rPr>
          <w:lang w:val="en-GB"/>
        </w:rPr>
        <w:t>the</w:t>
      </w:r>
      <w:r>
        <w:rPr>
          <w:lang w:val="en-GB"/>
        </w:rPr>
        <w:t xml:space="preserve"> </w:t>
      </w:r>
      <w:hyperlink r:id="rId8" w:tgtFrame="_blank" w:history="1">
        <w:r w:rsidRPr="004E6560">
          <w:rPr>
            <w:rStyle w:val="Hyperlink"/>
            <w:lang w:val="en-GB"/>
          </w:rPr>
          <w:t>Hotmaps</w:t>
        </w:r>
        <w:r>
          <w:rPr>
            <w:rStyle w:val="Hyperlink"/>
            <w:lang w:val="en-GB"/>
          </w:rPr>
          <w:t xml:space="preserve"> </w:t>
        </w:r>
        <w:r w:rsidRPr="004E6560">
          <w:rPr>
            <w:rStyle w:val="Hyperlink"/>
            <w:lang w:val="en-GB"/>
          </w:rPr>
          <w:t>Toolbox</w:t>
        </w:r>
      </w:hyperlink>
      <w:r>
        <w:rPr>
          <w:lang w:val="en-GB"/>
        </w:rPr>
        <w:t xml:space="preserve"> (</w:t>
      </w:r>
      <w:r w:rsidRPr="004E6560">
        <w:rPr>
          <w:lang w:val="en-GB"/>
        </w:rPr>
        <w:t>building</w:t>
      </w:r>
      <w:r>
        <w:rPr>
          <w:lang w:val="en-GB"/>
        </w:rPr>
        <w:t xml:space="preserve"> </w:t>
      </w:r>
      <w:r w:rsidRPr="004E6560">
        <w:rPr>
          <w:lang w:val="en-GB"/>
        </w:rPr>
        <w:t>heating</w:t>
      </w:r>
      <w:r>
        <w:rPr>
          <w:lang w:val="en-GB"/>
        </w:rPr>
        <w:t xml:space="preserve"> </w:t>
      </w:r>
      <w:r w:rsidRPr="004E6560">
        <w:rPr>
          <w:lang w:val="en-GB"/>
        </w:rPr>
        <w:t>and</w:t>
      </w:r>
      <w:r>
        <w:rPr>
          <w:lang w:val="en-GB"/>
        </w:rPr>
        <w:t xml:space="preserve"> </w:t>
      </w:r>
      <w:r w:rsidRPr="004E6560">
        <w:rPr>
          <w:lang w:val="en-GB"/>
        </w:rPr>
        <w:t>cooling</w:t>
      </w:r>
      <w:r>
        <w:rPr>
          <w:lang w:val="en-GB"/>
        </w:rPr>
        <w:t xml:space="preserve"> </w:t>
      </w:r>
      <w:r w:rsidRPr="004E6560">
        <w:rPr>
          <w:lang w:val="en-GB"/>
        </w:rPr>
        <w:t>demand</w:t>
      </w:r>
      <w:r>
        <w:rPr>
          <w:lang w:val="en-GB"/>
        </w:rPr>
        <w:t xml:space="preserve">, </w:t>
      </w:r>
      <w:r w:rsidRPr="004E6560">
        <w:rPr>
          <w:lang w:val="en-GB"/>
        </w:rPr>
        <w:t>renewable</w:t>
      </w:r>
      <w:r>
        <w:rPr>
          <w:lang w:val="en-GB"/>
        </w:rPr>
        <w:t xml:space="preserve"> </w:t>
      </w:r>
      <w:r w:rsidRPr="004E6560">
        <w:rPr>
          <w:lang w:val="en-GB"/>
        </w:rPr>
        <w:t>energy</w:t>
      </w:r>
      <w:r>
        <w:rPr>
          <w:lang w:val="en-GB"/>
        </w:rPr>
        <w:t xml:space="preserve"> </w:t>
      </w:r>
      <w:r w:rsidRPr="004E6560">
        <w:rPr>
          <w:lang w:val="en-GB"/>
        </w:rPr>
        <w:t>potential</w:t>
      </w:r>
      <w:r w:rsidR="004628F6">
        <w:rPr>
          <w:lang w:val="en-GB"/>
        </w:rPr>
        <w:t>s</w:t>
      </w:r>
      <w:r>
        <w:rPr>
          <w:lang w:val="en-GB"/>
        </w:rPr>
        <w:t>)</w:t>
      </w:r>
      <w:r w:rsidRPr="004E6560">
        <w:rPr>
          <w:lang w:val="en-GB"/>
        </w:rPr>
        <w:t>.</w:t>
      </w:r>
      <w:r>
        <w:rPr>
          <w:lang w:val="en-GB"/>
        </w:rPr>
        <w:t xml:space="preserve"> </w:t>
      </w:r>
      <w:r w:rsidRPr="004E6560">
        <w:rPr>
          <w:lang w:val="en-GB"/>
        </w:rPr>
        <w:t>Climate</w:t>
      </w:r>
      <w:r>
        <w:rPr>
          <w:lang w:val="en-GB"/>
        </w:rPr>
        <w:t xml:space="preserve"> </w:t>
      </w:r>
      <w:r w:rsidRPr="004E6560">
        <w:rPr>
          <w:lang w:val="en-GB"/>
        </w:rPr>
        <w:t>targets</w:t>
      </w:r>
      <w:r>
        <w:rPr>
          <w:lang w:val="en-GB"/>
        </w:rPr>
        <w:t xml:space="preserve"> </w:t>
      </w:r>
      <w:r w:rsidRPr="004E6560">
        <w:rPr>
          <w:lang w:val="en-GB"/>
        </w:rPr>
        <w:t>for</w:t>
      </w:r>
      <w:r>
        <w:rPr>
          <w:lang w:val="en-GB"/>
        </w:rPr>
        <w:t xml:space="preserve"> </w:t>
      </w:r>
      <w:r w:rsidRPr="004E6560">
        <w:rPr>
          <w:lang w:val="en-GB"/>
        </w:rPr>
        <w:t>GHG</w:t>
      </w:r>
      <w:r>
        <w:rPr>
          <w:lang w:val="en-GB"/>
        </w:rPr>
        <w:t xml:space="preserve"> </w:t>
      </w:r>
      <w:r w:rsidRPr="004E6560">
        <w:rPr>
          <w:lang w:val="en-GB"/>
        </w:rPr>
        <w:t>emissions,</w:t>
      </w:r>
      <w:r>
        <w:rPr>
          <w:lang w:val="en-GB"/>
        </w:rPr>
        <w:t xml:space="preserve"> </w:t>
      </w:r>
      <w:r w:rsidRPr="004E6560">
        <w:rPr>
          <w:lang w:val="en-GB"/>
        </w:rPr>
        <w:t>renewable</w:t>
      </w:r>
      <w:r>
        <w:rPr>
          <w:lang w:val="en-GB"/>
        </w:rPr>
        <w:t xml:space="preserve"> </w:t>
      </w:r>
      <w:proofErr w:type="gramStart"/>
      <w:r w:rsidRPr="004E6560">
        <w:rPr>
          <w:lang w:val="en-GB"/>
        </w:rPr>
        <w:t>energy</w:t>
      </w:r>
      <w:proofErr w:type="gramEnd"/>
      <w:r>
        <w:rPr>
          <w:lang w:val="en-GB"/>
        </w:rPr>
        <w:t xml:space="preserve"> </w:t>
      </w:r>
      <w:r w:rsidRPr="004E6560">
        <w:rPr>
          <w:lang w:val="en-GB"/>
        </w:rPr>
        <w:t>and</w:t>
      </w:r>
      <w:r>
        <w:rPr>
          <w:lang w:val="en-GB"/>
        </w:rPr>
        <w:t xml:space="preserve"> </w:t>
      </w:r>
      <w:r w:rsidRPr="004E6560">
        <w:rPr>
          <w:lang w:val="en-GB"/>
        </w:rPr>
        <w:t>energy</w:t>
      </w:r>
      <w:r>
        <w:rPr>
          <w:lang w:val="en-GB"/>
        </w:rPr>
        <w:t xml:space="preserve"> </w:t>
      </w:r>
      <w:r w:rsidRPr="004E6560">
        <w:rPr>
          <w:lang w:val="en-GB"/>
        </w:rPr>
        <w:t>efficiency,</w:t>
      </w:r>
      <w:r>
        <w:rPr>
          <w:lang w:val="en-GB"/>
        </w:rPr>
        <w:t xml:space="preserve"> </w:t>
      </w:r>
      <w:r w:rsidRPr="004E6560">
        <w:rPr>
          <w:lang w:val="en-GB"/>
        </w:rPr>
        <w:t>are</w:t>
      </w:r>
      <w:r>
        <w:rPr>
          <w:lang w:val="en-GB"/>
        </w:rPr>
        <w:t xml:space="preserve"> </w:t>
      </w:r>
      <w:r w:rsidRPr="004E6560">
        <w:rPr>
          <w:lang w:val="en-GB"/>
        </w:rPr>
        <w:t>collected</w:t>
      </w:r>
      <w:r>
        <w:rPr>
          <w:lang w:val="en-GB"/>
        </w:rPr>
        <w:t xml:space="preserve"> </w:t>
      </w:r>
      <w:r w:rsidR="00CE3187">
        <w:rPr>
          <w:lang w:val="en-GB"/>
        </w:rPr>
        <w:t xml:space="preserve">at local, </w:t>
      </w:r>
      <w:r w:rsidRPr="004E6560">
        <w:rPr>
          <w:lang w:val="en-GB"/>
        </w:rPr>
        <w:t>national</w:t>
      </w:r>
      <w:r>
        <w:rPr>
          <w:lang w:val="en-GB"/>
        </w:rPr>
        <w:t xml:space="preserve"> </w:t>
      </w:r>
      <w:r w:rsidRPr="004E6560">
        <w:rPr>
          <w:lang w:val="en-GB"/>
        </w:rPr>
        <w:t>and</w:t>
      </w:r>
      <w:r>
        <w:rPr>
          <w:lang w:val="en-GB"/>
        </w:rPr>
        <w:t xml:space="preserve"> </w:t>
      </w:r>
      <w:r w:rsidRPr="004E6560">
        <w:rPr>
          <w:lang w:val="en-GB"/>
        </w:rPr>
        <w:t>EU</w:t>
      </w:r>
      <w:r>
        <w:rPr>
          <w:lang w:val="en-GB"/>
        </w:rPr>
        <w:t xml:space="preserve"> </w:t>
      </w:r>
      <w:r w:rsidR="00CE3187">
        <w:rPr>
          <w:lang w:val="en-GB"/>
        </w:rPr>
        <w:t>level</w:t>
      </w:r>
      <w:r>
        <w:rPr>
          <w:lang w:val="en-GB"/>
        </w:rPr>
        <w:t xml:space="preserve">. </w:t>
      </w:r>
    </w:p>
    <w:p w14:paraId="559D346B" w14:textId="77777777" w:rsidR="004E6560" w:rsidRDefault="004E6560" w:rsidP="004E6560">
      <w:pPr>
        <w:rPr>
          <w:lang w:val="en-GB"/>
        </w:rPr>
      </w:pPr>
    </w:p>
    <w:p w14:paraId="60F48D63" w14:textId="21BAE981" w:rsidR="004A34D6" w:rsidRDefault="004E6560" w:rsidP="004A34D6">
      <w:pPr>
        <w:rPr>
          <w:lang w:val="en-GB"/>
        </w:rPr>
      </w:pPr>
      <w:r>
        <w:rPr>
          <w:lang w:val="en-GB"/>
        </w:rPr>
        <w:t>Then, local targets are harmonized and compared to EU and national targets</w:t>
      </w:r>
      <w:r w:rsidR="004A34D6">
        <w:rPr>
          <w:lang w:val="en-GB"/>
        </w:rPr>
        <w:t xml:space="preserve"> with the help of a 1990-base </w:t>
      </w:r>
      <w:r w:rsidR="00BA36F7">
        <w:rPr>
          <w:lang w:val="en-GB"/>
        </w:rPr>
        <w:t>index of n</w:t>
      </w:r>
      <w:r>
        <w:rPr>
          <w:lang w:val="en-GB"/>
        </w:rPr>
        <w:t xml:space="preserve">ational emissions and energy consumption. </w:t>
      </w:r>
      <w:r w:rsidR="004A34D6">
        <w:rPr>
          <w:lang w:val="en-GB"/>
        </w:rPr>
        <w:t>Local e</w:t>
      </w:r>
      <w:r w:rsidR="00BA36F7">
        <w:rPr>
          <w:lang w:val="en-GB"/>
        </w:rPr>
        <w:t xml:space="preserve">missions and consumption </w:t>
      </w:r>
      <w:r w:rsidR="004628F6">
        <w:rPr>
          <w:lang w:val="en-GB"/>
        </w:rPr>
        <w:t xml:space="preserve">are </w:t>
      </w:r>
      <w:r w:rsidR="004A34D6">
        <w:rPr>
          <w:lang w:val="en-GB"/>
        </w:rPr>
        <w:t xml:space="preserve">back casted to </w:t>
      </w:r>
      <w:r w:rsidR="00BA36F7">
        <w:rPr>
          <w:lang w:val="en-GB"/>
        </w:rPr>
        <w:t xml:space="preserve">the base </w:t>
      </w:r>
      <w:r w:rsidR="004A34D6">
        <w:rPr>
          <w:lang w:val="en-GB"/>
        </w:rPr>
        <w:t xml:space="preserve">year of </w:t>
      </w:r>
      <w:r w:rsidR="00BA36F7">
        <w:rPr>
          <w:lang w:val="en-GB"/>
        </w:rPr>
        <w:t xml:space="preserve">EU </w:t>
      </w:r>
      <w:r w:rsidR="004A34D6">
        <w:rPr>
          <w:lang w:val="en-GB"/>
        </w:rPr>
        <w:t xml:space="preserve">and national </w:t>
      </w:r>
      <w:r w:rsidR="00BA36F7">
        <w:rPr>
          <w:lang w:val="en-GB"/>
        </w:rPr>
        <w:t xml:space="preserve">targets </w:t>
      </w:r>
      <w:r w:rsidR="004A34D6">
        <w:rPr>
          <w:lang w:val="en-GB"/>
        </w:rPr>
        <w:t>(1990, 2005)</w:t>
      </w:r>
      <w:r w:rsidR="00BA36F7">
        <w:rPr>
          <w:lang w:val="en-GB"/>
        </w:rPr>
        <w:t xml:space="preserve">. Local targets are </w:t>
      </w:r>
      <w:r w:rsidR="004A34D6">
        <w:rPr>
          <w:lang w:val="en-GB"/>
        </w:rPr>
        <w:t>thus</w:t>
      </w:r>
      <w:r w:rsidR="00BA36F7">
        <w:rPr>
          <w:lang w:val="en-GB"/>
        </w:rPr>
        <w:t xml:space="preserve"> expressed in these baseline years and </w:t>
      </w:r>
      <w:r w:rsidR="004A34D6">
        <w:rPr>
          <w:lang w:val="en-GB"/>
        </w:rPr>
        <w:t xml:space="preserve">when misaligned, an estimation of how local </w:t>
      </w:r>
      <w:r w:rsidR="00BA36F7">
        <w:rPr>
          <w:lang w:val="en-GB"/>
        </w:rPr>
        <w:t xml:space="preserve">targets </w:t>
      </w:r>
      <w:r w:rsidR="004A34D6">
        <w:rPr>
          <w:lang w:val="en-GB"/>
        </w:rPr>
        <w:t>should have been to be in line with national ones is calculated</w:t>
      </w:r>
      <w:r w:rsidR="00BA36F7">
        <w:rPr>
          <w:lang w:val="en-GB"/>
        </w:rPr>
        <w:t>.</w:t>
      </w:r>
      <w:r w:rsidR="004A34D6">
        <w:rPr>
          <w:lang w:val="en-GB"/>
        </w:rPr>
        <w:t xml:space="preserve"> Eventually, f</w:t>
      </w:r>
      <w:r w:rsidR="004A34D6" w:rsidRPr="004E6560">
        <w:rPr>
          <w:lang w:val="en-GB"/>
        </w:rPr>
        <w:t>oreseen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mitigation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and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adaptation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actions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listed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in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the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action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plans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are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categorized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by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scope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and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sector,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to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provide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an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overview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of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the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most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significant</w:t>
      </w:r>
      <w:r w:rsidR="004A34D6">
        <w:rPr>
          <w:lang w:val="en-GB"/>
        </w:rPr>
        <w:t xml:space="preserve"> </w:t>
      </w:r>
      <w:r w:rsidR="004A34D6" w:rsidRPr="004E6560">
        <w:rPr>
          <w:lang w:val="en-GB"/>
        </w:rPr>
        <w:t>measures.</w:t>
      </w:r>
    </w:p>
    <w:p w14:paraId="34C0BBE2" w14:textId="77777777" w:rsidR="004A34D6" w:rsidRDefault="004A34D6" w:rsidP="004E6560">
      <w:pPr>
        <w:rPr>
          <w:lang w:val="en-GB"/>
        </w:rPr>
      </w:pPr>
    </w:p>
    <w:p w14:paraId="12648FD1" w14:textId="77777777" w:rsidR="004E6560" w:rsidRPr="004E6560" w:rsidRDefault="004E6560" w:rsidP="00227125">
      <w:pPr>
        <w:rPr>
          <w:lang w:val="en-GB"/>
        </w:rPr>
      </w:pPr>
    </w:p>
    <w:p w14:paraId="4EBD7E5F" w14:textId="7E319367" w:rsidR="005E4D4F" w:rsidRPr="00370436" w:rsidRDefault="004628F6" w:rsidP="005E4D4F">
      <w:pPr>
        <w:pStyle w:val="Ueberschrift"/>
        <w:rPr>
          <w:lang w:val="en-GB"/>
        </w:rPr>
      </w:pPr>
      <w:r w:rsidRPr="00370436">
        <w:rPr>
          <w:lang w:val="en-GB"/>
        </w:rPr>
        <w:t>Results and conclusions</w:t>
      </w:r>
    </w:p>
    <w:p w14:paraId="35A9C75B" w14:textId="6D8EF1C5" w:rsidR="005E4D4F" w:rsidRPr="00370436" w:rsidRDefault="005E4D4F" w:rsidP="00227125">
      <w:pPr>
        <w:rPr>
          <w:lang w:val="en-GB"/>
        </w:rPr>
      </w:pPr>
    </w:p>
    <w:p w14:paraId="2282536F" w14:textId="44CF5946" w:rsidR="00A03AAE" w:rsidRDefault="00A03AAE" w:rsidP="00A03AAE">
      <w:pPr>
        <w:rPr>
          <w:lang w:val="en-GB"/>
        </w:rPr>
      </w:pPr>
      <w:r w:rsidRPr="00A03AAE">
        <w:rPr>
          <w:lang w:val="en-GB"/>
        </w:rPr>
        <w:t xml:space="preserve">This in-depth assessment </w:t>
      </w:r>
      <w:r>
        <w:rPr>
          <w:lang w:val="en-GB"/>
        </w:rPr>
        <w:t xml:space="preserve">revealed a </w:t>
      </w:r>
      <w:r w:rsidRPr="00A03AAE">
        <w:rPr>
          <w:lang w:val="en-GB"/>
        </w:rPr>
        <w:t xml:space="preserve">highly diversified landscape. </w:t>
      </w:r>
      <w:r w:rsidR="00CD07BD">
        <w:rPr>
          <w:lang w:val="en-GB"/>
        </w:rPr>
        <w:t>M</w:t>
      </w:r>
      <w:r w:rsidRPr="00A03AAE">
        <w:rPr>
          <w:lang w:val="en-GB"/>
        </w:rPr>
        <w:t xml:space="preserve">unicipalities </w:t>
      </w:r>
      <w:r w:rsidR="00CD07BD">
        <w:rPr>
          <w:lang w:val="en-GB"/>
        </w:rPr>
        <w:t>showed</w:t>
      </w:r>
      <w:r>
        <w:rPr>
          <w:lang w:val="en-GB"/>
        </w:rPr>
        <w:t xml:space="preserve"> </w:t>
      </w:r>
      <w:r w:rsidRPr="00A03AAE">
        <w:rPr>
          <w:lang w:val="en-GB"/>
        </w:rPr>
        <w:t>very different starting point</w:t>
      </w:r>
      <w:r w:rsidR="004628F6">
        <w:rPr>
          <w:lang w:val="en-GB"/>
        </w:rPr>
        <w:t>s</w:t>
      </w:r>
      <w:r w:rsidRPr="00A03AAE">
        <w:rPr>
          <w:lang w:val="en-GB"/>
        </w:rPr>
        <w:t xml:space="preserve">, possibilities, </w:t>
      </w:r>
      <w:r w:rsidR="00656527" w:rsidRPr="00A03AAE">
        <w:rPr>
          <w:lang w:val="en-GB"/>
        </w:rPr>
        <w:t>strategies,</w:t>
      </w:r>
      <w:r w:rsidRPr="00A03AAE">
        <w:rPr>
          <w:lang w:val="en-GB"/>
        </w:rPr>
        <w:t xml:space="preserve"> and progress, </w:t>
      </w:r>
      <w:r w:rsidR="00CD07BD">
        <w:rPr>
          <w:lang w:val="en-GB"/>
        </w:rPr>
        <w:t xml:space="preserve">and they </w:t>
      </w:r>
      <w:r w:rsidRPr="00A03AAE">
        <w:rPr>
          <w:lang w:val="en-GB"/>
        </w:rPr>
        <w:t>produc</w:t>
      </w:r>
      <w:r w:rsidR="00CD07BD">
        <w:rPr>
          <w:lang w:val="en-GB"/>
        </w:rPr>
        <w:t>ed</w:t>
      </w:r>
      <w:r w:rsidRPr="00A03AAE">
        <w:rPr>
          <w:lang w:val="en-GB"/>
        </w:rPr>
        <w:t xml:space="preserve"> substantially different plans. This alone confirms that no one-size-fits-all approach is </w:t>
      </w:r>
      <w:r w:rsidR="00CD07BD">
        <w:rPr>
          <w:lang w:val="en-GB"/>
        </w:rPr>
        <w:t>suitable</w:t>
      </w:r>
      <w:r w:rsidRPr="00A03AAE">
        <w:rPr>
          <w:lang w:val="en-GB"/>
        </w:rPr>
        <w:t xml:space="preserve"> </w:t>
      </w:r>
      <w:r w:rsidR="00CD07BD">
        <w:rPr>
          <w:lang w:val="en-GB"/>
        </w:rPr>
        <w:t xml:space="preserve">to </w:t>
      </w:r>
      <w:r w:rsidRPr="00A03AAE">
        <w:rPr>
          <w:lang w:val="en-GB"/>
        </w:rPr>
        <w:t>local climate action</w:t>
      </w:r>
      <w:r>
        <w:rPr>
          <w:lang w:val="en-GB"/>
        </w:rPr>
        <w:t>.</w:t>
      </w:r>
    </w:p>
    <w:p w14:paraId="7BDCAB0D" w14:textId="77777777" w:rsidR="00A03AAE" w:rsidRDefault="00A03AAE" w:rsidP="00A03AAE">
      <w:pPr>
        <w:rPr>
          <w:lang w:val="en-GB"/>
        </w:rPr>
      </w:pPr>
    </w:p>
    <w:p w14:paraId="1C9D04FC" w14:textId="7E67D451" w:rsidR="00586243" w:rsidRDefault="00A03AAE" w:rsidP="00A03AAE">
      <w:pPr>
        <w:rPr>
          <w:lang w:val="en-GB"/>
        </w:rPr>
      </w:pPr>
      <w:r w:rsidRPr="00A03AAE">
        <w:rPr>
          <w:lang w:val="en-GB"/>
        </w:rPr>
        <w:t xml:space="preserve">Concerning the action plans, </w:t>
      </w:r>
      <w:r w:rsidR="00CD07BD">
        <w:rPr>
          <w:lang w:val="en-GB"/>
        </w:rPr>
        <w:t xml:space="preserve">the CoM minimum requirements were generally met, but many of the additional recommended </w:t>
      </w:r>
      <w:r w:rsidR="00CD07BD">
        <w:rPr>
          <w:lang w:val="en-GB"/>
        </w:rPr>
        <w:t xml:space="preserve">elements </w:t>
      </w:r>
      <w:r w:rsidR="00CD07BD">
        <w:rPr>
          <w:lang w:val="en-GB"/>
        </w:rPr>
        <w:t xml:space="preserve">were overlooked. </w:t>
      </w:r>
      <w:r>
        <w:rPr>
          <w:lang w:val="en-GB"/>
        </w:rPr>
        <w:t>D</w:t>
      </w:r>
      <w:r w:rsidRPr="00A03AAE">
        <w:rPr>
          <w:lang w:val="en-GB"/>
        </w:rPr>
        <w:t>ata</w:t>
      </w:r>
      <w:r>
        <w:rPr>
          <w:lang w:val="en-GB"/>
        </w:rPr>
        <w:t xml:space="preserve"> was sometimes old, incomplete, inconsistent</w:t>
      </w:r>
      <w:r w:rsidRPr="00A03AAE">
        <w:rPr>
          <w:lang w:val="en-GB"/>
        </w:rPr>
        <w:t xml:space="preserve">, </w:t>
      </w:r>
      <w:r>
        <w:rPr>
          <w:lang w:val="en-GB"/>
        </w:rPr>
        <w:t>or had little detail. A</w:t>
      </w:r>
      <w:r w:rsidR="00DC5FAE">
        <w:rPr>
          <w:lang w:val="en-GB"/>
        </w:rPr>
        <w:t xml:space="preserve"> comprehensive, far reaching, programmatic approach was often missing, </w:t>
      </w:r>
      <w:r w:rsidR="00656527">
        <w:rPr>
          <w:lang w:val="en-GB"/>
        </w:rPr>
        <w:t xml:space="preserve">focusing on </w:t>
      </w:r>
      <w:r w:rsidR="00DC5FAE">
        <w:rPr>
          <w:lang w:val="en-GB"/>
        </w:rPr>
        <w:t xml:space="preserve">targets </w:t>
      </w:r>
      <w:r w:rsidR="00656527">
        <w:rPr>
          <w:lang w:val="en-GB"/>
        </w:rPr>
        <w:t xml:space="preserve">for </w:t>
      </w:r>
      <w:r w:rsidR="00DC5FAE">
        <w:rPr>
          <w:lang w:val="en-GB"/>
        </w:rPr>
        <w:t xml:space="preserve">carbon emissions by 2020 or 2030. Elements </w:t>
      </w:r>
      <w:r w:rsidR="00635D60">
        <w:rPr>
          <w:lang w:val="en-GB"/>
        </w:rPr>
        <w:t>recommended by the CoM and JRC [</w:t>
      </w:r>
      <w:r w:rsidR="00773A39">
        <w:rPr>
          <w:lang w:val="en-GB"/>
        </w:rPr>
        <w:t>7, 16</w:t>
      </w:r>
      <w:r w:rsidR="00635D60">
        <w:rPr>
          <w:lang w:val="en-GB"/>
        </w:rPr>
        <w:t xml:space="preserve">] </w:t>
      </w:r>
      <w:r w:rsidR="00DC5FAE">
        <w:rPr>
          <w:lang w:val="en-GB"/>
        </w:rPr>
        <w:t>such as renewables and efficiency targets,</w:t>
      </w:r>
      <w:r w:rsidR="00CD07BD">
        <w:rPr>
          <w:lang w:val="en-GB"/>
        </w:rPr>
        <w:t xml:space="preserve"> </w:t>
      </w:r>
      <w:r w:rsidR="00DC5FAE">
        <w:rPr>
          <w:lang w:val="en-GB"/>
        </w:rPr>
        <w:t xml:space="preserve">2050 </w:t>
      </w:r>
      <w:r w:rsidR="00CD07BD">
        <w:rPr>
          <w:lang w:val="en-GB"/>
        </w:rPr>
        <w:t>targets,</w:t>
      </w:r>
      <w:r w:rsidRPr="00A03AAE">
        <w:rPr>
          <w:lang w:val="en-GB"/>
        </w:rPr>
        <w:t xml:space="preserve"> </w:t>
      </w:r>
      <w:r w:rsidR="00DC5FAE" w:rsidRPr="00A03AAE">
        <w:rPr>
          <w:lang w:val="en-GB"/>
        </w:rPr>
        <w:t>RES potential</w:t>
      </w:r>
      <w:r w:rsidR="00DC5FAE">
        <w:rPr>
          <w:lang w:val="en-GB"/>
        </w:rPr>
        <w:t>s, sector targets</w:t>
      </w:r>
      <w:r w:rsidR="00635D60">
        <w:rPr>
          <w:lang w:val="en-GB"/>
        </w:rPr>
        <w:t xml:space="preserve"> </w:t>
      </w:r>
      <w:proofErr w:type="gramStart"/>
      <w:r w:rsidR="00635D60">
        <w:rPr>
          <w:lang w:val="en-GB"/>
        </w:rPr>
        <w:t>e.g.</w:t>
      </w:r>
      <w:proofErr w:type="gramEnd"/>
      <w:r w:rsidR="00DC5FAE">
        <w:rPr>
          <w:lang w:val="en-GB"/>
        </w:rPr>
        <w:t xml:space="preserve"> building renovation rates, </w:t>
      </w:r>
      <w:r w:rsidR="00CD07BD">
        <w:rPr>
          <w:lang w:val="en-GB"/>
        </w:rPr>
        <w:t>implementation steps</w:t>
      </w:r>
      <w:r w:rsidR="00DC5FAE">
        <w:rPr>
          <w:lang w:val="en-GB"/>
        </w:rPr>
        <w:t>,</w:t>
      </w:r>
      <w:r w:rsidR="00CD07BD">
        <w:rPr>
          <w:lang w:val="en-GB"/>
        </w:rPr>
        <w:t xml:space="preserve"> and a </w:t>
      </w:r>
      <w:r w:rsidR="00DC5FAE">
        <w:rPr>
          <w:lang w:val="en-GB"/>
        </w:rPr>
        <w:t>draft</w:t>
      </w:r>
      <w:r w:rsidR="00CD07BD">
        <w:rPr>
          <w:lang w:val="en-GB"/>
        </w:rPr>
        <w:t xml:space="preserve"> timeline </w:t>
      </w:r>
      <w:r>
        <w:rPr>
          <w:lang w:val="en-GB"/>
        </w:rPr>
        <w:t xml:space="preserve">were </w:t>
      </w:r>
      <w:r w:rsidR="00CD07BD">
        <w:rPr>
          <w:lang w:val="en-GB"/>
        </w:rPr>
        <w:t xml:space="preserve">often </w:t>
      </w:r>
      <w:r>
        <w:rPr>
          <w:lang w:val="en-GB"/>
        </w:rPr>
        <w:t>missing.</w:t>
      </w:r>
      <w:r w:rsidRPr="00A03AAE">
        <w:rPr>
          <w:lang w:val="en-GB"/>
        </w:rPr>
        <w:t xml:space="preserve"> </w:t>
      </w:r>
      <w:r>
        <w:rPr>
          <w:lang w:val="en-GB"/>
        </w:rPr>
        <w:t>M</w:t>
      </w:r>
      <w:r w:rsidRPr="00A03AAE">
        <w:rPr>
          <w:lang w:val="en-GB"/>
        </w:rPr>
        <w:t xml:space="preserve">easures that </w:t>
      </w:r>
      <w:r>
        <w:rPr>
          <w:lang w:val="en-GB"/>
        </w:rPr>
        <w:t xml:space="preserve">are more difficult to </w:t>
      </w:r>
      <w:r w:rsidR="00EA61C2">
        <w:rPr>
          <w:lang w:val="en-GB"/>
        </w:rPr>
        <w:t>implement but</w:t>
      </w:r>
      <w:r>
        <w:rPr>
          <w:lang w:val="en-GB"/>
        </w:rPr>
        <w:t xml:space="preserve"> produce greater impact </w:t>
      </w:r>
      <w:r w:rsidR="00635D60">
        <w:rPr>
          <w:lang w:val="en-GB"/>
        </w:rPr>
        <w:t>[</w:t>
      </w:r>
      <w:r w:rsidR="00EA61C2">
        <w:rPr>
          <w:lang w:val="en-GB"/>
        </w:rPr>
        <w:t xml:space="preserve">13, </w:t>
      </w:r>
      <w:r w:rsidR="00773A39">
        <w:rPr>
          <w:lang w:val="en-GB"/>
        </w:rPr>
        <w:t>17</w:t>
      </w:r>
      <w:r w:rsidR="00635D60">
        <w:rPr>
          <w:lang w:val="en-GB"/>
        </w:rPr>
        <w:t xml:space="preserve">] </w:t>
      </w:r>
      <w:r>
        <w:rPr>
          <w:lang w:val="en-GB"/>
        </w:rPr>
        <w:t xml:space="preserve">such as </w:t>
      </w:r>
      <w:r w:rsidRPr="00A03AAE">
        <w:rPr>
          <w:lang w:val="en-GB"/>
        </w:rPr>
        <w:t xml:space="preserve">regulation, standards, and financial </w:t>
      </w:r>
      <w:r w:rsidRPr="00A03AAE">
        <w:rPr>
          <w:lang w:val="en-GB"/>
        </w:rPr>
        <w:lastRenderedPageBreak/>
        <w:t xml:space="preserve">tools, </w:t>
      </w:r>
      <w:r w:rsidR="00586243">
        <w:rPr>
          <w:lang w:val="en-GB"/>
        </w:rPr>
        <w:t xml:space="preserve">were greatly </w:t>
      </w:r>
      <w:r w:rsidR="00DC5FAE">
        <w:rPr>
          <w:lang w:val="en-GB"/>
        </w:rPr>
        <w:t xml:space="preserve">neglected, in favour of easier but less impactful actions such as </w:t>
      </w:r>
      <w:r w:rsidR="00EA61C2">
        <w:rPr>
          <w:lang w:val="en-GB"/>
        </w:rPr>
        <w:t xml:space="preserve">municipal </w:t>
      </w:r>
      <w:r w:rsidR="00DC5FAE">
        <w:rPr>
          <w:lang w:val="en-GB"/>
        </w:rPr>
        <w:t>self-governing</w:t>
      </w:r>
      <w:r w:rsidR="00DC5FAE">
        <w:rPr>
          <w:lang w:val="en-GB"/>
        </w:rPr>
        <w:t xml:space="preserve"> measures and awareness campaigns</w:t>
      </w:r>
      <w:r w:rsidR="00586243">
        <w:rPr>
          <w:lang w:val="en-GB"/>
        </w:rPr>
        <w:t xml:space="preserve">. </w:t>
      </w:r>
    </w:p>
    <w:p w14:paraId="5C84F19B" w14:textId="77777777" w:rsidR="00586243" w:rsidRDefault="00586243" w:rsidP="00A03AAE">
      <w:pPr>
        <w:rPr>
          <w:lang w:val="en-GB"/>
        </w:rPr>
      </w:pPr>
    </w:p>
    <w:p w14:paraId="12F72A66" w14:textId="67883679" w:rsidR="00A03AAE" w:rsidRPr="00A03AAE" w:rsidRDefault="00635D60" w:rsidP="00A03AAE">
      <w:pPr>
        <w:rPr>
          <w:lang w:val="en-GB"/>
        </w:rPr>
      </w:pPr>
      <w:r>
        <w:rPr>
          <w:lang w:val="en-GB"/>
        </w:rPr>
        <w:t>A</w:t>
      </w:r>
      <w:r w:rsidRPr="00A03AAE">
        <w:rPr>
          <w:lang w:val="en-GB"/>
        </w:rPr>
        <w:t>lready the fact that the municipalities developed such plans show a great motivation to advance the energy transition.</w:t>
      </w:r>
      <w:r>
        <w:rPr>
          <w:lang w:val="en-GB"/>
        </w:rPr>
        <w:t xml:space="preserve"> However, l</w:t>
      </w:r>
      <w:r w:rsidR="00A03AAE" w:rsidRPr="00A03AAE">
        <w:rPr>
          <w:lang w:val="en-GB"/>
        </w:rPr>
        <w:t xml:space="preserve">ocal </w:t>
      </w:r>
      <w:r w:rsidR="00586243">
        <w:rPr>
          <w:lang w:val="en-GB"/>
        </w:rPr>
        <w:t xml:space="preserve">emissions </w:t>
      </w:r>
      <w:r w:rsidR="00A03AAE" w:rsidRPr="00A03AAE">
        <w:rPr>
          <w:lang w:val="en-GB"/>
        </w:rPr>
        <w:t xml:space="preserve">targets </w:t>
      </w:r>
      <w:r w:rsidR="00A03AAE">
        <w:rPr>
          <w:lang w:val="en-GB"/>
        </w:rPr>
        <w:t xml:space="preserve">were </w:t>
      </w:r>
      <w:r>
        <w:rPr>
          <w:lang w:val="en-GB"/>
        </w:rPr>
        <w:t>rarely</w:t>
      </w:r>
      <w:r w:rsidR="00A03AAE">
        <w:rPr>
          <w:lang w:val="en-GB"/>
        </w:rPr>
        <w:t xml:space="preserve"> </w:t>
      </w:r>
      <w:r w:rsidR="00A03AAE" w:rsidRPr="00A03AAE">
        <w:rPr>
          <w:lang w:val="en-GB"/>
        </w:rPr>
        <w:t xml:space="preserve">aligned </w:t>
      </w:r>
      <w:r w:rsidR="00A03AAE">
        <w:rPr>
          <w:lang w:val="en-GB"/>
        </w:rPr>
        <w:t xml:space="preserve">to </w:t>
      </w:r>
      <w:r w:rsidR="00A03AAE" w:rsidRPr="00A03AAE">
        <w:rPr>
          <w:lang w:val="en-GB"/>
        </w:rPr>
        <w:t>national</w:t>
      </w:r>
      <w:r w:rsidR="00586243">
        <w:rPr>
          <w:lang w:val="en-GB"/>
        </w:rPr>
        <w:t>/</w:t>
      </w:r>
      <w:r w:rsidR="00A03AAE" w:rsidRPr="00A03AAE">
        <w:rPr>
          <w:lang w:val="en-GB"/>
        </w:rPr>
        <w:t>EU targets</w:t>
      </w:r>
      <w:r w:rsidR="00586243">
        <w:rPr>
          <w:lang w:val="en-GB"/>
        </w:rPr>
        <w:t>: only 10</w:t>
      </w:r>
      <w:r w:rsidR="00A03AAE" w:rsidRPr="00A03AAE">
        <w:rPr>
          <w:lang w:val="en-GB"/>
        </w:rPr>
        <w:t xml:space="preserve"> </w:t>
      </w:r>
      <w:r w:rsidR="00586243">
        <w:rPr>
          <w:lang w:val="en-GB"/>
        </w:rPr>
        <w:t xml:space="preserve">municipalities for 2020 targets, 4 for 2030 targets, and one for carbon neutrality. Renewable and </w:t>
      </w:r>
      <w:r>
        <w:rPr>
          <w:lang w:val="en-GB"/>
        </w:rPr>
        <w:t>e</w:t>
      </w:r>
      <w:r w:rsidR="00586243">
        <w:rPr>
          <w:lang w:val="en-GB"/>
        </w:rPr>
        <w:t>fficiency targets were mostly missing</w:t>
      </w:r>
      <w:r>
        <w:rPr>
          <w:lang w:val="en-GB"/>
        </w:rPr>
        <w:t>. E</w:t>
      </w:r>
      <w:r>
        <w:rPr>
          <w:lang w:val="en-GB"/>
        </w:rPr>
        <w:t>stimat</w:t>
      </w:r>
      <w:r>
        <w:rPr>
          <w:lang w:val="en-GB"/>
        </w:rPr>
        <w:t>ed</w:t>
      </w:r>
      <w:r>
        <w:rPr>
          <w:lang w:val="en-GB"/>
        </w:rPr>
        <w:t xml:space="preserve"> </w:t>
      </w:r>
      <w:r>
        <w:rPr>
          <w:lang w:val="en-GB"/>
        </w:rPr>
        <w:t xml:space="preserve">minimum </w:t>
      </w:r>
      <w:r>
        <w:rPr>
          <w:lang w:val="en-GB"/>
        </w:rPr>
        <w:t xml:space="preserve">targets in line with national ones </w:t>
      </w:r>
      <w:r>
        <w:rPr>
          <w:lang w:val="en-GB"/>
        </w:rPr>
        <w:t>were provided where local targets were missing.</w:t>
      </w:r>
    </w:p>
    <w:p w14:paraId="1FDE0822" w14:textId="77777777" w:rsidR="00A03AAE" w:rsidRPr="00A03AAE" w:rsidRDefault="00A03AAE" w:rsidP="00227125">
      <w:pPr>
        <w:rPr>
          <w:lang w:val="en-GB"/>
        </w:rPr>
      </w:pPr>
    </w:p>
    <w:p w14:paraId="4D51CF77" w14:textId="7079ECED" w:rsidR="00803917" w:rsidRDefault="004A34D6" w:rsidP="00227125">
      <w:r>
        <w:rPr>
          <w:noProof/>
        </w:rPr>
        <w:drawing>
          <wp:inline distT="0" distB="0" distL="0" distR="0" wp14:anchorId="10833583" wp14:editId="3D9E0C6E">
            <wp:extent cx="5760720" cy="3453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0E72A" w14:textId="4558C832" w:rsidR="00803917" w:rsidRPr="00C4638B" w:rsidRDefault="00370436" w:rsidP="00C4638B">
      <w:pPr>
        <w:pStyle w:val="Abbildungsbeschriftung"/>
        <w:jc w:val="center"/>
        <w:rPr>
          <w:lang w:val="en-GB"/>
        </w:rPr>
      </w:pPr>
      <w:r>
        <w:rPr>
          <w:lang w:val="en-GB"/>
        </w:rPr>
        <w:t>Figure</w:t>
      </w:r>
      <w:r w:rsidR="004E6560" w:rsidRPr="00C4638B">
        <w:rPr>
          <w:lang w:val="en-GB"/>
        </w:rPr>
        <w:t xml:space="preserve"> </w:t>
      </w:r>
      <w:r w:rsidR="00803917" w:rsidRPr="00C4638B">
        <w:rPr>
          <w:lang w:val="en-GB"/>
        </w:rPr>
        <w:t>1:</w:t>
      </w:r>
      <w:r w:rsidR="004E6560" w:rsidRPr="00C4638B">
        <w:rPr>
          <w:lang w:val="en-GB"/>
        </w:rPr>
        <w:t xml:space="preserve"> </w:t>
      </w:r>
      <w:r w:rsidR="00C4638B" w:rsidRPr="00C4638B">
        <w:rPr>
          <w:lang w:val="en-GB"/>
        </w:rPr>
        <w:t>Categorization of SEAP/SECAPs Measures</w:t>
      </w:r>
    </w:p>
    <w:p w14:paraId="0E25A479" w14:textId="77777777" w:rsidR="0049149B" w:rsidRPr="0049149B" w:rsidRDefault="0049149B" w:rsidP="00A156E4">
      <w:pPr>
        <w:pStyle w:val="Ueberschrift"/>
        <w:rPr>
          <w:b w:val="0"/>
          <w:spacing w:val="0"/>
          <w:sz w:val="20"/>
          <w:lang w:val="en-GB" w:eastAsia="ko-KR"/>
        </w:rPr>
      </w:pPr>
      <w:bookmarkStart w:id="0" w:name="_Toc26086066"/>
      <w:bookmarkStart w:id="1" w:name="_Toc68418491"/>
    </w:p>
    <w:p w14:paraId="149F7793" w14:textId="3E2F36C8" w:rsidR="005E4D4F" w:rsidRPr="00826F39" w:rsidRDefault="005E4D4F" w:rsidP="00A156E4">
      <w:pPr>
        <w:pStyle w:val="Ueberschrift"/>
        <w:rPr>
          <w:lang w:val="de-AT"/>
        </w:rPr>
      </w:pPr>
      <w:r w:rsidRPr="00826F39">
        <w:rPr>
          <w:lang w:val="de-AT"/>
        </w:rPr>
        <w:t>Literatur</w:t>
      </w:r>
      <w:bookmarkEnd w:id="0"/>
      <w:bookmarkEnd w:id="1"/>
    </w:p>
    <w:p w14:paraId="749BE60C" w14:textId="77B28E67" w:rsidR="00C4638B" w:rsidRPr="00826F39" w:rsidRDefault="00C4638B" w:rsidP="0049149B">
      <w:pPr>
        <w:pStyle w:val="Literatur"/>
        <w:ind w:left="426" w:hanging="426"/>
        <w:rPr>
          <w:lang w:val="en-GB"/>
        </w:rPr>
      </w:pPr>
      <w:bookmarkStart w:id="2" w:name="_Hlk73379919"/>
      <w:r w:rsidRPr="00826F39">
        <w:rPr>
          <w:lang w:val="de-AT"/>
        </w:rPr>
        <w:t>[1]</w:t>
      </w:r>
      <w:r w:rsidRPr="00826F39">
        <w:rPr>
          <w:lang w:val="de-AT"/>
        </w:rPr>
        <w:tab/>
      </w:r>
      <w:bookmarkEnd w:id="2"/>
      <w:proofErr w:type="spellStart"/>
      <w:r w:rsidRPr="00826F39">
        <w:rPr>
          <w:lang w:val="de-AT"/>
        </w:rPr>
        <w:t>Dobravec</w:t>
      </w:r>
      <w:proofErr w:type="spellEnd"/>
      <w:r w:rsidRPr="00826F39">
        <w:rPr>
          <w:lang w:val="de-AT"/>
        </w:rPr>
        <w:t xml:space="preserve">, V., </w:t>
      </w:r>
      <w:proofErr w:type="spellStart"/>
      <w:r w:rsidRPr="00826F39">
        <w:rPr>
          <w:lang w:val="de-AT"/>
        </w:rPr>
        <w:t>Matak</w:t>
      </w:r>
      <w:proofErr w:type="spellEnd"/>
      <w:r w:rsidRPr="00826F39">
        <w:rPr>
          <w:lang w:val="de-AT"/>
        </w:rPr>
        <w:t xml:space="preserve">, N., </w:t>
      </w:r>
      <w:proofErr w:type="spellStart"/>
      <w:r w:rsidRPr="00826F39">
        <w:rPr>
          <w:lang w:val="de-AT"/>
        </w:rPr>
        <w:t>Sakulin</w:t>
      </w:r>
      <w:proofErr w:type="spellEnd"/>
      <w:r w:rsidRPr="00826F39">
        <w:rPr>
          <w:lang w:val="de-AT"/>
        </w:rPr>
        <w:t xml:space="preserve">, C., </w:t>
      </w:r>
      <w:proofErr w:type="spellStart"/>
      <w:r w:rsidRPr="00826F39">
        <w:rPr>
          <w:lang w:val="de-AT"/>
        </w:rPr>
        <w:t>Krajačić</w:t>
      </w:r>
      <w:proofErr w:type="spellEnd"/>
      <w:r w:rsidRPr="00826F39">
        <w:rPr>
          <w:lang w:val="de-AT"/>
        </w:rPr>
        <w:t xml:space="preserve">, G., 2021. </w:t>
      </w:r>
      <w:r w:rsidRPr="00826F39">
        <w:rPr>
          <w:lang w:val="en-GB"/>
        </w:rPr>
        <w:t xml:space="preserve">Multilevel governance energy planning and policy: a view on local energy initiatives. Energy Sustain. Soc. 11, 2. </w:t>
      </w:r>
      <w:hyperlink r:id="rId10" w:history="1">
        <w:r w:rsidR="00370436" w:rsidRPr="00401D47">
          <w:rPr>
            <w:rStyle w:val="Hyperlink"/>
            <w:lang w:val="en-GB"/>
          </w:rPr>
          <w:t>https://doi.org/10.1186/s13705-020-00277-y</w:t>
        </w:r>
      </w:hyperlink>
      <w:r w:rsidR="00370436">
        <w:rPr>
          <w:lang w:val="en-GB"/>
        </w:rPr>
        <w:t xml:space="preserve"> </w:t>
      </w:r>
    </w:p>
    <w:p w14:paraId="5FFDBAB8" w14:textId="75FBB3BB" w:rsidR="00C4638B" w:rsidRPr="00826F39" w:rsidRDefault="00C4638B" w:rsidP="0049149B">
      <w:pPr>
        <w:pStyle w:val="Bibliography"/>
        <w:ind w:left="426" w:hanging="426"/>
        <w:rPr>
          <w:lang w:val="en-GB"/>
        </w:rPr>
      </w:pPr>
      <w:r w:rsidRPr="00826F39">
        <w:rPr>
          <w:lang w:val="en-GB"/>
        </w:rPr>
        <w:t>[2]</w:t>
      </w:r>
      <w:r w:rsidRPr="00826F39">
        <w:rPr>
          <w:lang w:val="en-GB"/>
        </w:rPr>
        <w:tab/>
        <w:t xml:space="preserve">Hoppe, T., </w:t>
      </w:r>
      <w:proofErr w:type="spellStart"/>
      <w:r w:rsidRPr="00826F39">
        <w:rPr>
          <w:lang w:val="en-GB"/>
        </w:rPr>
        <w:t>Miedema</w:t>
      </w:r>
      <w:proofErr w:type="spellEnd"/>
      <w:r w:rsidRPr="00826F39">
        <w:rPr>
          <w:lang w:val="en-GB"/>
        </w:rPr>
        <w:t xml:space="preserve">, M., 2020. A Governance Approach to Regional Energy Transition: Meaning, Conceptualization and Practice. Sustainability 12, 915. </w:t>
      </w:r>
      <w:hyperlink r:id="rId11" w:history="1">
        <w:r w:rsidR="00370436" w:rsidRPr="00401D47">
          <w:rPr>
            <w:rStyle w:val="Hyperlink"/>
            <w:lang w:val="en-GB"/>
          </w:rPr>
          <w:t>https://doi.org/10.3390/su12030915</w:t>
        </w:r>
      </w:hyperlink>
      <w:r w:rsidR="00370436">
        <w:rPr>
          <w:lang w:val="en-GB"/>
        </w:rPr>
        <w:t xml:space="preserve"> </w:t>
      </w:r>
    </w:p>
    <w:p w14:paraId="23F0FD1C" w14:textId="0EA4ED6B" w:rsidR="00C4638B" w:rsidRPr="00826F39" w:rsidRDefault="00C4638B" w:rsidP="0049149B">
      <w:pPr>
        <w:pStyle w:val="Bibliography"/>
        <w:ind w:left="426" w:hanging="426"/>
        <w:rPr>
          <w:lang w:val="en-GB"/>
        </w:rPr>
      </w:pPr>
      <w:r w:rsidRPr="00826F39">
        <w:rPr>
          <w:lang w:val="en-GB"/>
        </w:rPr>
        <w:t>[3]</w:t>
      </w:r>
      <w:r w:rsidRPr="00826F39">
        <w:rPr>
          <w:lang w:val="en-GB"/>
        </w:rPr>
        <w:tab/>
      </w:r>
      <w:proofErr w:type="spellStart"/>
      <w:r w:rsidRPr="00826F39">
        <w:rPr>
          <w:lang w:val="en-GB"/>
        </w:rPr>
        <w:t>Jänicke</w:t>
      </w:r>
      <w:proofErr w:type="spellEnd"/>
      <w:r w:rsidRPr="00826F39">
        <w:rPr>
          <w:lang w:val="en-GB"/>
        </w:rPr>
        <w:t xml:space="preserve">, M., 2017. The Multi-level System of Global Climate Governance – the Model and its Current State. Environ. Policy Gov. 27, 108–121. </w:t>
      </w:r>
      <w:hyperlink r:id="rId12" w:history="1">
        <w:r w:rsidR="00370436" w:rsidRPr="00401D47">
          <w:rPr>
            <w:rStyle w:val="Hyperlink"/>
            <w:lang w:val="en-GB"/>
          </w:rPr>
          <w:t>https://doi.org/10.1002/eet.1747</w:t>
        </w:r>
      </w:hyperlink>
      <w:r w:rsidR="00370436">
        <w:rPr>
          <w:lang w:val="en-GB"/>
        </w:rPr>
        <w:t xml:space="preserve"> </w:t>
      </w:r>
    </w:p>
    <w:p w14:paraId="6F2AF3F6" w14:textId="564003E5" w:rsidR="00C4638B" w:rsidRPr="00826F39" w:rsidRDefault="00C4638B" w:rsidP="0049149B">
      <w:pPr>
        <w:pStyle w:val="Bibliography"/>
        <w:ind w:left="426" w:hanging="426"/>
        <w:rPr>
          <w:lang w:val="en-GB"/>
        </w:rPr>
      </w:pPr>
      <w:r w:rsidRPr="00826F39">
        <w:rPr>
          <w:lang w:val="en-GB"/>
        </w:rPr>
        <w:t>[4]</w:t>
      </w:r>
      <w:r w:rsidRPr="00826F39">
        <w:rPr>
          <w:lang w:val="en-GB"/>
        </w:rPr>
        <w:tab/>
      </w:r>
      <w:proofErr w:type="spellStart"/>
      <w:r w:rsidRPr="00826F39">
        <w:rPr>
          <w:lang w:val="en-GB"/>
        </w:rPr>
        <w:t>Jänicke</w:t>
      </w:r>
      <w:proofErr w:type="spellEnd"/>
      <w:r w:rsidRPr="00826F39">
        <w:rPr>
          <w:lang w:val="en-GB"/>
        </w:rPr>
        <w:t xml:space="preserve">, M., </w:t>
      </w:r>
      <w:proofErr w:type="spellStart"/>
      <w:r w:rsidRPr="00826F39">
        <w:rPr>
          <w:lang w:val="en-GB"/>
        </w:rPr>
        <w:t>Schreurs</w:t>
      </w:r>
      <w:proofErr w:type="spellEnd"/>
      <w:r w:rsidRPr="00826F39">
        <w:rPr>
          <w:lang w:val="en-GB"/>
        </w:rPr>
        <w:t xml:space="preserve">, M., </w:t>
      </w:r>
      <w:proofErr w:type="spellStart"/>
      <w:r w:rsidRPr="00826F39">
        <w:rPr>
          <w:lang w:val="en-GB"/>
        </w:rPr>
        <w:t>Töpfer</w:t>
      </w:r>
      <w:proofErr w:type="spellEnd"/>
      <w:r w:rsidRPr="00826F39">
        <w:rPr>
          <w:lang w:val="en-GB"/>
        </w:rPr>
        <w:t>, K., 2015. The Potential of Multi-Level Global Climate Governance 12.</w:t>
      </w:r>
    </w:p>
    <w:p w14:paraId="67FCC236" w14:textId="2D5048C6" w:rsidR="00C4638B" w:rsidRPr="00826F39" w:rsidRDefault="00C4638B" w:rsidP="0049149B">
      <w:pPr>
        <w:pStyle w:val="Literatur"/>
        <w:ind w:left="426" w:hanging="426"/>
        <w:rPr>
          <w:lang w:val="en-GB"/>
        </w:rPr>
      </w:pPr>
      <w:r w:rsidRPr="00826F39">
        <w:rPr>
          <w:lang w:val="en-GB"/>
        </w:rPr>
        <w:t>[5]</w:t>
      </w:r>
      <w:r w:rsidRPr="00826F39">
        <w:rPr>
          <w:lang w:val="en-GB"/>
        </w:rPr>
        <w:tab/>
        <w:t xml:space="preserve">Covenant of Mayors, 2021. About, </w:t>
      </w:r>
      <w:proofErr w:type="spellStart"/>
      <w:r w:rsidRPr="00826F39">
        <w:rPr>
          <w:lang w:val="en-GB"/>
        </w:rPr>
        <w:t>Originis</w:t>
      </w:r>
      <w:proofErr w:type="spellEnd"/>
      <w:r w:rsidRPr="00826F39">
        <w:rPr>
          <w:lang w:val="en-GB"/>
        </w:rPr>
        <w:t xml:space="preserve"> and Development [WWW Document]. URL </w:t>
      </w:r>
      <w:hyperlink r:id="rId13" w:history="1">
        <w:r w:rsidR="00370436" w:rsidRPr="00401D47">
          <w:rPr>
            <w:rStyle w:val="Hyperlink"/>
            <w:lang w:val="en-GB"/>
          </w:rPr>
          <w:t>https://www.covenantofmayors.eu/about/covenant-initiative/origins-and-development.html</w:t>
        </w:r>
      </w:hyperlink>
      <w:r w:rsidRPr="00826F39">
        <w:rPr>
          <w:lang w:val="en-GB"/>
        </w:rPr>
        <w:t xml:space="preserve"> (accessed 3.5.21).</w:t>
      </w:r>
    </w:p>
    <w:p w14:paraId="5DDE0792" w14:textId="16FA35B1" w:rsidR="00C4638B" w:rsidRPr="00826F39" w:rsidRDefault="00C4638B" w:rsidP="0049149B">
      <w:pPr>
        <w:pStyle w:val="Bibliography"/>
        <w:ind w:left="426" w:hanging="426"/>
        <w:rPr>
          <w:lang w:val="en-GB"/>
        </w:rPr>
      </w:pPr>
      <w:r w:rsidRPr="00C4638B">
        <w:rPr>
          <w:lang w:val="it-IT"/>
        </w:rPr>
        <w:t>[</w:t>
      </w:r>
      <w:r>
        <w:rPr>
          <w:lang w:val="it-IT"/>
        </w:rPr>
        <w:t>6</w:t>
      </w:r>
      <w:r w:rsidRPr="00C4638B">
        <w:rPr>
          <w:lang w:val="it-IT"/>
        </w:rPr>
        <w:t>]</w:t>
      </w:r>
      <w:r w:rsidRPr="00C4638B">
        <w:rPr>
          <w:lang w:val="it-IT"/>
        </w:rPr>
        <w:tab/>
        <w:t xml:space="preserve">Melica, G., Bertoldi, P., </w:t>
      </w:r>
      <w:proofErr w:type="spellStart"/>
      <w:r w:rsidRPr="00C4638B">
        <w:rPr>
          <w:lang w:val="it-IT"/>
        </w:rPr>
        <w:t>Kona</w:t>
      </w:r>
      <w:proofErr w:type="spellEnd"/>
      <w:r w:rsidRPr="00C4638B">
        <w:rPr>
          <w:lang w:val="it-IT"/>
        </w:rPr>
        <w:t xml:space="preserve">, A., </w:t>
      </w:r>
      <w:proofErr w:type="spellStart"/>
      <w:r w:rsidRPr="00C4638B">
        <w:rPr>
          <w:lang w:val="it-IT"/>
        </w:rPr>
        <w:t>Iancu</w:t>
      </w:r>
      <w:proofErr w:type="spellEnd"/>
      <w:r w:rsidRPr="00C4638B">
        <w:rPr>
          <w:lang w:val="it-IT"/>
        </w:rPr>
        <w:t xml:space="preserve">, A., Rivas, S., Zancanella, P., 2018. </w:t>
      </w:r>
      <w:r w:rsidRPr="00826F39">
        <w:rPr>
          <w:lang w:val="en-GB"/>
        </w:rPr>
        <w:t xml:space="preserve">Multilevel governance of sustainable energy policies: The role of regions and provinces to support the participation of small local authorities in the Covenant of Mayors. Sustain. Cities Soc. 39, 729–739. </w:t>
      </w:r>
      <w:hyperlink r:id="rId14" w:history="1">
        <w:r w:rsidR="00370436" w:rsidRPr="00401D47">
          <w:rPr>
            <w:rStyle w:val="Hyperlink"/>
            <w:lang w:val="en-GB"/>
          </w:rPr>
          <w:t>https://doi.org/10.1016/j.scs.2018.01.013</w:t>
        </w:r>
      </w:hyperlink>
      <w:r w:rsidR="00370436">
        <w:rPr>
          <w:lang w:val="en-GB"/>
        </w:rPr>
        <w:t xml:space="preserve"> </w:t>
      </w:r>
    </w:p>
    <w:p w14:paraId="399AE98C" w14:textId="370BB1F5" w:rsidR="0049149B" w:rsidRDefault="00C4638B" w:rsidP="0049149B">
      <w:pPr>
        <w:pStyle w:val="Bibliography"/>
        <w:ind w:left="426" w:hanging="426"/>
        <w:rPr>
          <w:lang w:val="en-GB"/>
        </w:rPr>
      </w:pPr>
      <w:r w:rsidRPr="00826F39">
        <w:rPr>
          <w:lang w:val="en-GB"/>
        </w:rPr>
        <w:t>[7]</w:t>
      </w:r>
      <w:r w:rsidRPr="00826F39">
        <w:rPr>
          <w:lang w:val="en-GB"/>
        </w:rPr>
        <w:tab/>
      </w:r>
      <w:bookmarkStart w:id="3" w:name="_Hlk75256844"/>
      <w:r w:rsidRPr="00826F39">
        <w:rPr>
          <w:lang w:val="en-GB"/>
        </w:rPr>
        <w:t xml:space="preserve">EU Institute for Energy and Transport </w:t>
      </w:r>
      <w:r w:rsidRPr="00C4638B">
        <w:rPr>
          <w:lang w:val="en-GB"/>
        </w:rPr>
        <w:t xml:space="preserve">- JRC (Joint Research Centre), 2010. Guidebook “How to Develop a Sustainable Energy Action Plan (SEAP)” [WWW Document]. EU Sci. Hub - Eur. Comm. URL </w:t>
      </w:r>
      <w:bookmarkEnd w:id="3"/>
      <w:r w:rsidR="00370436">
        <w:rPr>
          <w:lang w:val="en-GB"/>
        </w:rPr>
        <w:fldChar w:fldCharType="begin"/>
      </w:r>
      <w:r w:rsidR="00370436">
        <w:rPr>
          <w:lang w:val="en-GB"/>
        </w:rPr>
        <w:instrText xml:space="preserve"> HYPERLINK "</w:instrText>
      </w:r>
      <w:r w:rsidR="00370436" w:rsidRPr="00C4638B">
        <w:rPr>
          <w:lang w:val="en-GB"/>
        </w:rPr>
        <w:instrText>https://ec.europa.eu/jrc/en/publication/eur-scientific-and-technical-research-reports/guidebook-how-develop-sustainable-energy-action-plan-seap</w:instrText>
      </w:r>
      <w:r w:rsidR="00370436">
        <w:rPr>
          <w:lang w:val="en-GB"/>
        </w:rPr>
        <w:instrText xml:space="preserve">" </w:instrText>
      </w:r>
      <w:r w:rsidR="00370436">
        <w:rPr>
          <w:lang w:val="en-GB"/>
        </w:rPr>
        <w:fldChar w:fldCharType="separate"/>
      </w:r>
      <w:r w:rsidR="00370436" w:rsidRPr="00401D47">
        <w:rPr>
          <w:rStyle w:val="Hyperlink"/>
          <w:lang w:val="en-GB"/>
        </w:rPr>
        <w:t>https://ec.europa.eu/jrc/en/publication/eur-scientific-and-technical-research-reports/guidebook-how-develop-sustainable-energy-action-plan-seap</w:t>
      </w:r>
      <w:r w:rsidR="00370436">
        <w:rPr>
          <w:lang w:val="en-GB"/>
        </w:rPr>
        <w:fldChar w:fldCharType="end"/>
      </w:r>
      <w:r w:rsidRPr="00C4638B">
        <w:rPr>
          <w:lang w:val="en-GB"/>
        </w:rPr>
        <w:t xml:space="preserve"> (accessed 3.5.21).</w:t>
      </w:r>
    </w:p>
    <w:p w14:paraId="3F52926C" w14:textId="2824814B" w:rsidR="0049149B" w:rsidRDefault="0049149B" w:rsidP="0049149B">
      <w:pPr>
        <w:pStyle w:val="Bibliography"/>
        <w:ind w:left="426" w:hanging="426"/>
        <w:rPr>
          <w:lang w:val="en-GB"/>
        </w:rPr>
      </w:pPr>
      <w:r w:rsidRPr="0049149B">
        <w:rPr>
          <w:lang w:val="it-IT"/>
        </w:rPr>
        <w:t>[</w:t>
      </w:r>
      <w:r>
        <w:rPr>
          <w:lang w:val="it-IT"/>
        </w:rPr>
        <w:t>8</w:t>
      </w:r>
      <w:r w:rsidRPr="0049149B">
        <w:rPr>
          <w:lang w:val="it-IT"/>
        </w:rPr>
        <w:t>]</w:t>
      </w:r>
      <w:r w:rsidRPr="0049149B">
        <w:rPr>
          <w:lang w:val="it-IT"/>
        </w:rPr>
        <w:tab/>
        <w:t xml:space="preserve">Croci, E., </w:t>
      </w:r>
      <w:proofErr w:type="spellStart"/>
      <w:r w:rsidRPr="0049149B">
        <w:rPr>
          <w:lang w:val="it-IT"/>
        </w:rPr>
        <w:t>Lucchitta</w:t>
      </w:r>
      <w:proofErr w:type="spellEnd"/>
      <w:r w:rsidRPr="0049149B">
        <w:rPr>
          <w:lang w:val="it-IT"/>
        </w:rPr>
        <w:t xml:space="preserve">, B., </w:t>
      </w:r>
      <w:proofErr w:type="spellStart"/>
      <w:r w:rsidRPr="0049149B">
        <w:rPr>
          <w:lang w:val="it-IT"/>
        </w:rPr>
        <w:t>Janssens-Maenhout</w:t>
      </w:r>
      <w:proofErr w:type="spellEnd"/>
      <w:r w:rsidRPr="0049149B">
        <w:rPr>
          <w:lang w:val="it-IT"/>
        </w:rPr>
        <w:t xml:space="preserve">, G., Martelli, S., Molteni, T., 2017. </w:t>
      </w:r>
      <w:r w:rsidRPr="0049149B">
        <w:rPr>
          <w:lang w:val="en-GB"/>
        </w:rPr>
        <w:t xml:space="preserve">Urban CO2 mitigation strategies under the Covenant of Mayors: An assessment of 124 European cities. J. Clean. Prod., Experimentation for climate change solutions 169, 161–177. </w:t>
      </w:r>
      <w:hyperlink r:id="rId15" w:history="1">
        <w:r w:rsidRPr="00975885">
          <w:rPr>
            <w:rStyle w:val="Hyperlink"/>
            <w:lang w:val="en-GB"/>
          </w:rPr>
          <w:t>https://doi.org/10.1016/j.jclepro.2017.05.165</w:t>
        </w:r>
      </w:hyperlink>
    </w:p>
    <w:p w14:paraId="2288835D" w14:textId="7E6C33B6" w:rsidR="0049149B" w:rsidRPr="00370436" w:rsidRDefault="0049149B" w:rsidP="0049149B">
      <w:pPr>
        <w:pStyle w:val="Bibliography"/>
        <w:ind w:left="426" w:hanging="426"/>
        <w:rPr>
          <w:lang w:val="en-GB"/>
        </w:rPr>
      </w:pPr>
      <w:r w:rsidRPr="0049149B">
        <w:rPr>
          <w:lang w:val="en-GB"/>
        </w:rPr>
        <w:lastRenderedPageBreak/>
        <w:t>[</w:t>
      </w:r>
      <w:r>
        <w:rPr>
          <w:lang w:val="en-GB"/>
        </w:rPr>
        <w:t>9</w:t>
      </w:r>
      <w:r w:rsidRPr="0049149B">
        <w:rPr>
          <w:lang w:val="en-GB"/>
        </w:rPr>
        <w:t>]</w:t>
      </w:r>
      <w:r w:rsidRPr="0049149B">
        <w:rPr>
          <w:lang w:val="en-GB"/>
        </w:rPr>
        <w:tab/>
      </w:r>
      <w:proofErr w:type="spellStart"/>
      <w:r w:rsidRPr="0049149B">
        <w:rPr>
          <w:lang w:val="en-GB"/>
        </w:rPr>
        <w:t>Grafakos</w:t>
      </w:r>
      <w:proofErr w:type="spellEnd"/>
      <w:r w:rsidRPr="0049149B">
        <w:rPr>
          <w:lang w:val="en-GB"/>
        </w:rPr>
        <w:t xml:space="preserve">, S., </w:t>
      </w:r>
      <w:proofErr w:type="spellStart"/>
      <w:r w:rsidRPr="0049149B">
        <w:rPr>
          <w:lang w:val="en-GB"/>
        </w:rPr>
        <w:t>Viero</w:t>
      </w:r>
      <w:proofErr w:type="spellEnd"/>
      <w:r w:rsidRPr="0049149B">
        <w:rPr>
          <w:lang w:val="en-GB"/>
        </w:rPr>
        <w:t xml:space="preserve">, G., </w:t>
      </w:r>
      <w:proofErr w:type="spellStart"/>
      <w:r w:rsidRPr="0049149B">
        <w:rPr>
          <w:lang w:val="en-GB"/>
        </w:rPr>
        <w:t>Reckien</w:t>
      </w:r>
      <w:proofErr w:type="spellEnd"/>
      <w:r w:rsidRPr="0049149B">
        <w:rPr>
          <w:lang w:val="en-GB"/>
        </w:rPr>
        <w:t xml:space="preserve">, D., </w:t>
      </w:r>
      <w:proofErr w:type="spellStart"/>
      <w:r w:rsidRPr="0049149B">
        <w:rPr>
          <w:lang w:val="en-GB"/>
        </w:rPr>
        <w:t>Trigg</w:t>
      </w:r>
      <w:proofErr w:type="spellEnd"/>
      <w:r w:rsidRPr="0049149B">
        <w:rPr>
          <w:lang w:val="en-GB"/>
        </w:rPr>
        <w:t xml:space="preserve">, K., </w:t>
      </w:r>
      <w:proofErr w:type="spellStart"/>
      <w:r w:rsidRPr="0049149B">
        <w:rPr>
          <w:lang w:val="en-GB"/>
        </w:rPr>
        <w:t>Viguie</w:t>
      </w:r>
      <w:proofErr w:type="spellEnd"/>
      <w:r w:rsidRPr="0049149B">
        <w:rPr>
          <w:lang w:val="en-GB"/>
        </w:rPr>
        <w:t xml:space="preserve">, V., </w:t>
      </w:r>
      <w:proofErr w:type="spellStart"/>
      <w:r w:rsidRPr="0049149B">
        <w:rPr>
          <w:lang w:val="en-GB"/>
        </w:rPr>
        <w:t>Sudmant</w:t>
      </w:r>
      <w:proofErr w:type="spellEnd"/>
      <w:r w:rsidRPr="0049149B">
        <w:rPr>
          <w:lang w:val="en-GB"/>
        </w:rPr>
        <w:t xml:space="preserve">, A., Graves, C., Foley, A., Heidrich, O., </w:t>
      </w:r>
      <w:proofErr w:type="spellStart"/>
      <w:r w:rsidRPr="0049149B">
        <w:rPr>
          <w:lang w:val="en-GB"/>
        </w:rPr>
        <w:t>Mirailles</w:t>
      </w:r>
      <w:proofErr w:type="spellEnd"/>
      <w:r w:rsidRPr="0049149B">
        <w:rPr>
          <w:lang w:val="en-GB"/>
        </w:rPr>
        <w:t xml:space="preserve">, J.M., Carter, J., Chang, L.H., </w:t>
      </w:r>
      <w:proofErr w:type="spellStart"/>
      <w:r w:rsidRPr="0049149B">
        <w:rPr>
          <w:lang w:val="en-GB"/>
        </w:rPr>
        <w:t>Nador</w:t>
      </w:r>
      <w:proofErr w:type="spellEnd"/>
      <w:r w:rsidRPr="0049149B">
        <w:rPr>
          <w:lang w:val="en-GB"/>
        </w:rPr>
        <w:t xml:space="preserve">, C., </w:t>
      </w:r>
      <w:proofErr w:type="spellStart"/>
      <w:r w:rsidRPr="0049149B">
        <w:rPr>
          <w:lang w:val="en-GB"/>
        </w:rPr>
        <w:t>Liseri</w:t>
      </w:r>
      <w:proofErr w:type="spellEnd"/>
      <w:r w:rsidRPr="0049149B">
        <w:rPr>
          <w:lang w:val="en-GB"/>
        </w:rPr>
        <w:t xml:space="preserve">, M., </w:t>
      </w:r>
      <w:proofErr w:type="spellStart"/>
      <w:r w:rsidRPr="0049149B">
        <w:rPr>
          <w:lang w:val="en-GB"/>
        </w:rPr>
        <w:t>Chelleri</w:t>
      </w:r>
      <w:proofErr w:type="spellEnd"/>
      <w:r w:rsidRPr="0049149B">
        <w:rPr>
          <w:lang w:val="en-GB"/>
        </w:rPr>
        <w:t xml:space="preserve">, L., </w:t>
      </w:r>
      <w:proofErr w:type="spellStart"/>
      <w:r w:rsidRPr="0049149B">
        <w:rPr>
          <w:lang w:val="en-GB"/>
        </w:rPr>
        <w:t>Orru</w:t>
      </w:r>
      <w:proofErr w:type="spellEnd"/>
      <w:r w:rsidRPr="0049149B">
        <w:rPr>
          <w:lang w:val="en-GB"/>
        </w:rPr>
        <w:t xml:space="preserve">, H., </w:t>
      </w:r>
      <w:proofErr w:type="spellStart"/>
      <w:r w:rsidRPr="0049149B">
        <w:rPr>
          <w:lang w:val="en-GB"/>
        </w:rPr>
        <w:t>Orru</w:t>
      </w:r>
      <w:proofErr w:type="spellEnd"/>
      <w:r w:rsidRPr="0049149B">
        <w:rPr>
          <w:lang w:val="en-GB"/>
        </w:rPr>
        <w:t xml:space="preserve">, K., </w:t>
      </w:r>
      <w:proofErr w:type="spellStart"/>
      <w:r w:rsidRPr="0049149B">
        <w:rPr>
          <w:lang w:val="en-GB"/>
        </w:rPr>
        <w:t>Aelenei</w:t>
      </w:r>
      <w:proofErr w:type="spellEnd"/>
      <w:r w:rsidRPr="0049149B">
        <w:rPr>
          <w:lang w:val="en-GB"/>
        </w:rPr>
        <w:t xml:space="preserve">, R., </w:t>
      </w:r>
      <w:proofErr w:type="spellStart"/>
      <w:r w:rsidRPr="0049149B">
        <w:rPr>
          <w:lang w:val="en-GB"/>
        </w:rPr>
        <w:t>Bilska</w:t>
      </w:r>
      <w:proofErr w:type="spellEnd"/>
      <w:r w:rsidRPr="0049149B">
        <w:rPr>
          <w:lang w:val="en-GB"/>
        </w:rPr>
        <w:t xml:space="preserve">, A., Pfeiffer, B., </w:t>
      </w:r>
      <w:proofErr w:type="spellStart"/>
      <w:r w:rsidRPr="0049149B">
        <w:rPr>
          <w:lang w:val="en-GB"/>
        </w:rPr>
        <w:t>Lepetit</w:t>
      </w:r>
      <w:proofErr w:type="spellEnd"/>
      <w:r w:rsidRPr="0049149B">
        <w:rPr>
          <w:lang w:val="en-GB"/>
        </w:rPr>
        <w:t xml:space="preserve">, Q., Church, J.M., </w:t>
      </w:r>
      <w:proofErr w:type="spellStart"/>
      <w:r w:rsidRPr="0049149B">
        <w:rPr>
          <w:lang w:val="en-GB"/>
        </w:rPr>
        <w:t>Landauer</w:t>
      </w:r>
      <w:proofErr w:type="spellEnd"/>
      <w:r w:rsidRPr="0049149B">
        <w:rPr>
          <w:lang w:val="en-GB"/>
        </w:rPr>
        <w:t xml:space="preserve">, M., </w:t>
      </w:r>
      <w:proofErr w:type="spellStart"/>
      <w:r w:rsidRPr="0049149B">
        <w:rPr>
          <w:lang w:val="en-GB"/>
        </w:rPr>
        <w:t>Gouldson</w:t>
      </w:r>
      <w:proofErr w:type="spellEnd"/>
      <w:r w:rsidRPr="0049149B">
        <w:rPr>
          <w:lang w:val="en-GB"/>
        </w:rPr>
        <w:t xml:space="preserve">, A., Dawson, R., 2020. Integration of mitigation and adaptation in urban climate change action plans in Europe: A systematic assessment. Renew. Sustain. Energy Rev. 121, 109623. </w:t>
      </w:r>
      <w:hyperlink r:id="rId16" w:history="1">
        <w:r w:rsidRPr="00370436">
          <w:rPr>
            <w:rStyle w:val="Hyperlink"/>
            <w:lang w:val="en-GB"/>
          </w:rPr>
          <w:t>https://doi.org/10.1016/j.rser.2019.109623</w:t>
        </w:r>
      </w:hyperlink>
    </w:p>
    <w:p w14:paraId="59D1AB57" w14:textId="3EB0BF43" w:rsidR="0049149B" w:rsidRPr="0049149B" w:rsidRDefault="0049149B" w:rsidP="0049149B">
      <w:pPr>
        <w:pStyle w:val="Bibliography"/>
        <w:ind w:left="426" w:hanging="426"/>
        <w:rPr>
          <w:lang w:val="it-IT"/>
        </w:rPr>
      </w:pPr>
      <w:r w:rsidRPr="00370436">
        <w:rPr>
          <w:lang w:val="en-GB"/>
        </w:rPr>
        <w:t>[10]</w:t>
      </w:r>
      <w:r w:rsidRPr="00370436">
        <w:rPr>
          <w:lang w:val="en-GB"/>
        </w:rPr>
        <w:tab/>
        <w:t xml:space="preserve">Kona, A., Bertoldi, P., </w:t>
      </w:r>
      <w:proofErr w:type="spellStart"/>
      <w:r w:rsidRPr="00370436">
        <w:rPr>
          <w:lang w:val="en-GB"/>
        </w:rPr>
        <w:t>Monforti-Ferrario</w:t>
      </w:r>
      <w:proofErr w:type="spellEnd"/>
      <w:r w:rsidRPr="00370436">
        <w:rPr>
          <w:lang w:val="en-GB"/>
        </w:rPr>
        <w:t xml:space="preserve">, F., Rivas, S., </w:t>
      </w:r>
      <w:proofErr w:type="spellStart"/>
      <w:r w:rsidRPr="00370436">
        <w:rPr>
          <w:lang w:val="en-GB"/>
        </w:rPr>
        <w:t>Dallemand</w:t>
      </w:r>
      <w:proofErr w:type="spellEnd"/>
      <w:r w:rsidRPr="00370436">
        <w:rPr>
          <w:lang w:val="en-GB"/>
        </w:rPr>
        <w:t xml:space="preserve">, J.F., 2018. </w:t>
      </w:r>
      <w:r w:rsidRPr="0049149B">
        <w:rPr>
          <w:lang w:val="en-GB"/>
        </w:rPr>
        <w:t xml:space="preserve">Covenant of </w:t>
      </w:r>
      <w:proofErr w:type="gramStart"/>
      <w:r w:rsidRPr="0049149B">
        <w:rPr>
          <w:lang w:val="en-GB"/>
        </w:rPr>
        <w:t>mayors</w:t>
      </w:r>
      <w:proofErr w:type="gramEnd"/>
      <w:r w:rsidRPr="0049149B">
        <w:rPr>
          <w:lang w:val="en-GB"/>
        </w:rPr>
        <w:t xml:space="preserve"> signatories leading the way towards 1.5 degree global warming pathway. </w:t>
      </w:r>
      <w:proofErr w:type="spellStart"/>
      <w:r w:rsidRPr="0049149B">
        <w:rPr>
          <w:lang w:val="it-IT"/>
        </w:rPr>
        <w:t>Sustain</w:t>
      </w:r>
      <w:proofErr w:type="spellEnd"/>
      <w:r w:rsidRPr="0049149B">
        <w:rPr>
          <w:lang w:val="it-IT"/>
        </w:rPr>
        <w:t xml:space="preserve">. Cities </w:t>
      </w:r>
      <w:proofErr w:type="spellStart"/>
      <w:r w:rsidRPr="0049149B">
        <w:rPr>
          <w:lang w:val="it-IT"/>
        </w:rPr>
        <w:t>Soc</w:t>
      </w:r>
      <w:proofErr w:type="spellEnd"/>
      <w:r w:rsidRPr="0049149B">
        <w:rPr>
          <w:lang w:val="it-IT"/>
        </w:rPr>
        <w:t xml:space="preserve">. 41, 568–575. </w:t>
      </w:r>
      <w:hyperlink r:id="rId17" w:history="1">
        <w:r w:rsidRPr="00975885">
          <w:rPr>
            <w:rStyle w:val="Hyperlink"/>
            <w:lang w:val="it-IT"/>
          </w:rPr>
          <w:t>https://doi.org/10.1016/j.scs.2018.05.017</w:t>
        </w:r>
      </w:hyperlink>
    </w:p>
    <w:p w14:paraId="795A740D" w14:textId="091AA0F2" w:rsidR="0049149B" w:rsidRPr="0049149B" w:rsidRDefault="0049149B" w:rsidP="0049149B">
      <w:pPr>
        <w:pStyle w:val="Bibliography"/>
        <w:ind w:left="426" w:hanging="426"/>
        <w:rPr>
          <w:lang w:val="it-IT"/>
        </w:rPr>
      </w:pPr>
      <w:r w:rsidRPr="0049149B">
        <w:rPr>
          <w:lang w:val="it-IT"/>
        </w:rPr>
        <w:t>[1</w:t>
      </w:r>
      <w:r>
        <w:rPr>
          <w:lang w:val="it-IT"/>
        </w:rPr>
        <w:t>1</w:t>
      </w:r>
      <w:r w:rsidRPr="0049149B">
        <w:rPr>
          <w:lang w:val="it-IT"/>
        </w:rPr>
        <w:t>]</w:t>
      </w:r>
      <w:r w:rsidRPr="0049149B">
        <w:rPr>
          <w:lang w:val="it-IT"/>
        </w:rPr>
        <w:tab/>
        <w:t xml:space="preserve">Messori, G., Brocchieri, F., Morello, E., </w:t>
      </w:r>
      <w:proofErr w:type="spellStart"/>
      <w:r w:rsidRPr="0049149B">
        <w:rPr>
          <w:lang w:val="it-IT"/>
        </w:rPr>
        <w:t>Ozgen</w:t>
      </w:r>
      <w:proofErr w:type="spellEnd"/>
      <w:r w:rsidRPr="0049149B">
        <w:rPr>
          <w:lang w:val="it-IT"/>
        </w:rPr>
        <w:t xml:space="preserve">, S., Caserini, S., 2020. </w:t>
      </w:r>
      <w:r w:rsidRPr="0049149B">
        <w:rPr>
          <w:lang w:val="en-GB"/>
        </w:rPr>
        <w:t xml:space="preserve">A climate mitigation action index at the local scale: Methodology and case study. </w:t>
      </w:r>
      <w:r w:rsidRPr="0049149B">
        <w:rPr>
          <w:lang w:val="it-IT"/>
        </w:rPr>
        <w:t xml:space="preserve">J. </w:t>
      </w:r>
      <w:proofErr w:type="spellStart"/>
      <w:r w:rsidRPr="0049149B">
        <w:rPr>
          <w:lang w:val="it-IT"/>
        </w:rPr>
        <w:t>Environ</w:t>
      </w:r>
      <w:proofErr w:type="spellEnd"/>
      <w:r w:rsidRPr="0049149B">
        <w:rPr>
          <w:lang w:val="it-IT"/>
        </w:rPr>
        <w:t xml:space="preserve">. </w:t>
      </w:r>
      <w:proofErr w:type="spellStart"/>
      <w:r w:rsidRPr="0049149B">
        <w:rPr>
          <w:lang w:val="it-IT"/>
        </w:rPr>
        <w:t>Manage</w:t>
      </w:r>
      <w:proofErr w:type="spellEnd"/>
      <w:r w:rsidRPr="0049149B">
        <w:rPr>
          <w:lang w:val="it-IT"/>
        </w:rPr>
        <w:t xml:space="preserve">. 260, 110024. </w:t>
      </w:r>
      <w:hyperlink r:id="rId18" w:history="1">
        <w:r w:rsidRPr="00975885">
          <w:rPr>
            <w:rStyle w:val="Hyperlink"/>
            <w:lang w:val="it-IT"/>
          </w:rPr>
          <w:t>https://doi.org/10.1016/j.jenvman.2019.110024</w:t>
        </w:r>
      </w:hyperlink>
    </w:p>
    <w:p w14:paraId="39F5E9DD" w14:textId="2AB7E09E" w:rsidR="0049149B" w:rsidRPr="00826F39" w:rsidRDefault="0049149B" w:rsidP="0049149B">
      <w:pPr>
        <w:pStyle w:val="Bibliography"/>
        <w:ind w:left="426" w:hanging="426"/>
        <w:rPr>
          <w:lang w:val="en-GB"/>
        </w:rPr>
      </w:pPr>
      <w:r w:rsidRPr="0049149B">
        <w:rPr>
          <w:lang w:val="it-IT"/>
        </w:rPr>
        <w:t>[1</w:t>
      </w:r>
      <w:r>
        <w:rPr>
          <w:lang w:val="it-IT"/>
        </w:rPr>
        <w:t>2</w:t>
      </w:r>
      <w:r w:rsidRPr="0049149B">
        <w:rPr>
          <w:lang w:val="it-IT"/>
        </w:rPr>
        <w:t>]</w:t>
      </w:r>
      <w:r w:rsidRPr="0049149B">
        <w:rPr>
          <w:lang w:val="it-IT"/>
        </w:rPr>
        <w:tab/>
        <w:t xml:space="preserve">Pablo-Romero, M. del P., </w:t>
      </w:r>
      <w:proofErr w:type="spellStart"/>
      <w:r w:rsidRPr="0049149B">
        <w:rPr>
          <w:lang w:val="it-IT"/>
        </w:rPr>
        <w:t>Pozo</w:t>
      </w:r>
      <w:proofErr w:type="spellEnd"/>
      <w:r w:rsidRPr="0049149B">
        <w:rPr>
          <w:lang w:val="it-IT"/>
        </w:rPr>
        <w:t xml:space="preserve">-Barajas, R., </w:t>
      </w:r>
      <w:proofErr w:type="spellStart"/>
      <w:r w:rsidRPr="0049149B">
        <w:rPr>
          <w:lang w:val="it-IT"/>
        </w:rPr>
        <w:t>Sánchez-Braza</w:t>
      </w:r>
      <w:proofErr w:type="spellEnd"/>
      <w:r w:rsidRPr="0049149B">
        <w:rPr>
          <w:lang w:val="it-IT"/>
        </w:rPr>
        <w:t xml:space="preserve">, A., 2018. </w:t>
      </w:r>
      <w:proofErr w:type="spellStart"/>
      <w:r w:rsidRPr="0049149B">
        <w:rPr>
          <w:lang w:val="en-GB"/>
        </w:rPr>
        <w:t>Analyzing</w:t>
      </w:r>
      <w:proofErr w:type="spellEnd"/>
      <w:r w:rsidRPr="0049149B">
        <w:rPr>
          <w:lang w:val="en-GB"/>
        </w:rPr>
        <w:t xml:space="preserve"> the effects of the benchmark local initiatives of Covenant of Mayors signatories. J. Clean. Prod. 176, 159–174. </w:t>
      </w:r>
      <w:hyperlink r:id="rId19" w:history="1">
        <w:r w:rsidRPr="00826F39">
          <w:rPr>
            <w:rStyle w:val="Hyperlink"/>
            <w:lang w:val="en-GB"/>
          </w:rPr>
          <w:t>https://doi.org/10.1016/j.jclepro.2017.12.124</w:t>
        </w:r>
      </w:hyperlink>
    </w:p>
    <w:p w14:paraId="1CA5B9EA" w14:textId="751A699A" w:rsidR="0049149B" w:rsidRDefault="0049149B" w:rsidP="0049149B">
      <w:pPr>
        <w:pStyle w:val="Bibliography"/>
        <w:ind w:left="426" w:hanging="426"/>
        <w:rPr>
          <w:lang w:val="en-GB"/>
        </w:rPr>
      </w:pPr>
      <w:r w:rsidRPr="00826F39">
        <w:rPr>
          <w:lang w:val="en-GB"/>
        </w:rPr>
        <w:t>[13]</w:t>
      </w:r>
      <w:r w:rsidRPr="00826F39">
        <w:rPr>
          <w:lang w:val="en-GB"/>
        </w:rPr>
        <w:tab/>
        <w:t xml:space="preserve">Palermo, V., Bertoldi, P., </w:t>
      </w:r>
      <w:proofErr w:type="spellStart"/>
      <w:r w:rsidRPr="00826F39">
        <w:rPr>
          <w:lang w:val="en-GB"/>
        </w:rPr>
        <w:t>Apostolou</w:t>
      </w:r>
      <w:proofErr w:type="spellEnd"/>
      <w:r w:rsidRPr="00826F39">
        <w:rPr>
          <w:lang w:val="en-GB"/>
        </w:rPr>
        <w:t xml:space="preserve">, M., Kona, A., Rivas, S., 2020. </w:t>
      </w:r>
      <w:r w:rsidRPr="0049149B">
        <w:rPr>
          <w:lang w:val="en-GB"/>
        </w:rPr>
        <w:t xml:space="preserve">Assessment of climate change mitigation policies in 315 cities in the Covenant of Mayors initiative. Sustain. Cities Soc. 60, 102258. </w:t>
      </w:r>
      <w:hyperlink r:id="rId20" w:history="1">
        <w:r w:rsidRPr="00975885">
          <w:rPr>
            <w:rStyle w:val="Hyperlink"/>
            <w:lang w:val="en-GB"/>
          </w:rPr>
          <w:t>https://doi.org/10.1016/j.scs.2020.102258</w:t>
        </w:r>
      </w:hyperlink>
    </w:p>
    <w:p w14:paraId="301C9187" w14:textId="0ADF681D" w:rsidR="0049149B" w:rsidRDefault="0049149B" w:rsidP="0049149B">
      <w:pPr>
        <w:pStyle w:val="Bibliography"/>
        <w:ind w:left="426" w:hanging="426"/>
        <w:rPr>
          <w:lang w:val="en-GB"/>
        </w:rPr>
      </w:pPr>
      <w:r w:rsidRPr="0049149B">
        <w:rPr>
          <w:lang w:val="en-GB"/>
        </w:rPr>
        <w:t>[1</w:t>
      </w:r>
      <w:r>
        <w:rPr>
          <w:lang w:val="en-GB"/>
        </w:rPr>
        <w:t>4</w:t>
      </w:r>
      <w:r w:rsidRPr="0049149B">
        <w:rPr>
          <w:lang w:val="en-GB"/>
        </w:rPr>
        <w:t>]</w:t>
      </w:r>
      <w:r w:rsidRPr="0049149B">
        <w:rPr>
          <w:lang w:val="en-GB"/>
        </w:rPr>
        <w:tab/>
        <w:t xml:space="preserve">Salvia, M., </w:t>
      </w:r>
      <w:proofErr w:type="spellStart"/>
      <w:r w:rsidRPr="0049149B">
        <w:rPr>
          <w:lang w:val="en-GB"/>
        </w:rPr>
        <w:t>Reckien</w:t>
      </w:r>
      <w:proofErr w:type="spellEnd"/>
      <w:r w:rsidRPr="0049149B">
        <w:rPr>
          <w:lang w:val="en-GB"/>
        </w:rPr>
        <w:t xml:space="preserve">, D., </w:t>
      </w:r>
      <w:proofErr w:type="spellStart"/>
      <w:r w:rsidRPr="0049149B">
        <w:rPr>
          <w:lang w:val="en-GB"/>
        </w:rPr>
        <w:t>Pietrapertosa</w:t>
      </w:r>
      <w:proofErr w:type="spellEnd"/>
      <w:r w:rsidRPr="0049149B">
        <w:rPr>
          <w:lang w:val="en-GB"/>
        </w:rPr>
        <w:t xml:space="preserve">, F., Eckersley, P., </w:t>
      </w:r>
      <w:proofErr w:type="spellStart"/>
      <w:r w:rsidRPr="0049149B">
        <w:rPr>
          <w:lang w:val="en-GB"/>
        </w:rPr>
        <w:t>Spyridaki</w:t>
      </w:r>
      <w:proofErr w:type="spellEnd"/>
      <w:r w:rsidRPr="0049149B">
        <w:rPr>
          <w:lang w:val="en-GB"/>
        </w:rPr>
        <w:t xml:space="preserve">, N.-A., </w:t>
      </w:r>
      <w:proofErr w:type="spellStart"/>
      <w:r w:rsidRPr="0049149B">
        <w:rPr>
          <w:lang w:val="en-GB"/>
        </w:rPr>
        <w:t>Krook-Riekkola</w:t>
      </w:r>
      <w:proofErr w:type="spellEnd"/>
      <w:r w:rsidRPr="0049149B">
        <w:rPr>
          <w:lang w:val="en-GB"/>
        </w:rPr>
        <w:t xml:space="preserve">, A., </w:t>
      </w:r>
      <w:proofErr w:type="spellStart"/>
      <w:r w:rsidRPr="0049149B">
        <w:rPr>
          <w:lang w:val="en-GB"/>
        </w:rPr>
        <w:t>Olazabal</w:t>
      </w:r>
      <w:proofErr w:type="spellEnd"/>
      <w:r w:rsidRPr="0049149B">
        <w:rPr>
          <w:lang w:val="en-GB"/>
        </w:rPr>
        <w:t xml:space="preserve">, M., De Gregorio Hurtado, S., </w:t>
      </w:r>
      <w:proofErr w:type="spellStart"/>
      <w:r w:rsidRPr="0049149B">
        <w:rPr>
          <w:lang w:val="en-GB"/>
        </w:rPr>
        <w:t>Simoes</w:t>
      </w:r>
      <w:proofErr w:type="spellEnd"/>
      <w:r w:rsidRPr="0049149B">
        <w:rPr>
          <w:lang w:val="en-GB"/>
        </w:rPr>
        <w:t xml:space="preserve">, S.G., </w:t>
      </w:r>
      <w:proofErr w:type="spellStart"/>
      <w:r w:rsidRPr="0049149B">
        <w:rPr>
          <w:lang w:val="en-GB"/>
        </w:rPr>
        <w:t>Geneletti</w:t>
      </w:r>
      <w:proofErr w:type="spellEnd"/>
      <w:r w:rsidRPr="0049149B">
        <w:rPr>
          <w:lang w:val="en-GB"/>
        </w:rPr>
        <w:t xml:space="preserve">, D., </w:t>
      </w:r>
      <w:proofErr w:type="spellStart"/>
      <w:r w:rsidRPr="0049149B">
        <w:rPr>
          <w:lang w:val="en-GB"/>
        </w:rPr>
        <w:t>Viguié</w:t>
      </w:r>
      <w:proofErr w:type="spellEnd"/>
      <w:r w:rsidRPr="0049149B">
        <w:rPr>
          <w:lang w:val="en-GB"/>
        </w:rPr>
        <w:t xml:space="preserve">, V., </w:t>
      </w:r>
      <w:proofErr w:type="spellStart"/>
      <w:r w:rsidRPr="0049149B">
        <w:rPr>
          <w:lang w:val="en-GB"/>
        </w:rPr>
        <w:t>Fokaides</w:t>
      </w:r>
      <w:proofErr w:type="spellEnd"/>
      <w:r w:rsidRPr="0049149B">
        <w:rPr>
          <w:lang w:val="en-GB"/>
        </w:rPr>
        <w:t xml:space="preserve">, P.A., </w:t>
      </w:r>
      <w:proofErr w:type="spellStart"/>
      <w:r w:rsidRPr="0049149B">
        <w:rPr>
          <w:lang w:val="en-GB"/>
        </w:rPr>
        <w:t>Ioannou</w:t>
      </w:r>
      <w:proofErr w:type="spellEnd"/>
      <w:r w:rsidRPr="0049149B">
        <w:rPr>
          <w:lang w:val="en-GB"/>
        </w:rPr>
        <w:t xml:space="preserve">, B.I., </w:t>
      </w:r>
      <w:proofErr w:type="spellStart"/>
      <w:r w:rsidRPr="0049149B">
        <w:rPr>
          <w:lang w:val="en-GB"/>
        </w:rPr>
        <w:t>Flamos</w:t>
      </w:r>
      <w:proofErr w:type="spellEnd"/>
      <w:r w:rsidRPr="0049149B">
        <w:rPr>
          <w:lang w:val="en-GB"/>
        </w:rPr>
        <w:t xml:space="preserve">, A., </w:t>
      </w:r>
      <w:proofErr w:type="spellStart"/>
      <w:r w:rsidRPr="0049149B">
        <w:rPr>
          <w:lang w:val="en-GB"/>
        </w:rPr>
        <w:t>Csete</w:t>
      </w:r>
      <w:proofErr w:type="spellEnd"/>
      <w:r w:rsidRPr="0049149B">
        <w:rPr>
          <w:lang w:val="en-GB"/>
        </w:rPr>
        <w:t xml:space="preserve">, M.S., </w:t>
      </w:r>
      <w:proofErr w:type="spellStart"/>
      <w:r w:rsidRPr="0049149B">
        <w:rPr>
          <w:lang w:val="en-GB"/>
        </w:rPr>
        <w:t>Buzasi</w:t>
      </w:r>
      <w:proofErr w:type="spellEnd"/>
      <w:r w:rsidRPr="0049149B">
        <w:rPr>
          <w:lang w:val="en-GB"/>
        </w:rPr>
        <w:t xml:space="preserve">, A., </w:t>
      </w:r>
      <w:proofErr w:type="spellStart"/>
      <w:r w:rsidRPr="0049149B">
        <w:rPr>
          <w:lang w:val="en-GB"/>
        </w:rPr>
        <w:t>Orru</w:t>
      </w:r>
      <w:proofErr w:type="spellEnd"/>
      <w:r w:rsidRPr="0049149B">
        <w:rPr>
          <w:lang w:val="en-GB"/>
        </w:rPr>
        <w:t xml:space="preserve">, H., de Boer, C., Foley, A., </w:t>
      </w:r>
      <w:proofErr w:type="spellStart"/>
      <w:r w:rsidRPr="0049149B">
        <w:rPr>
          <w:lang w:val="en-GB"/>
        </w:rPr>
        <w:t>Rižnar</w:t>
      </w:r>
      <w:proofErr w:type="spellEnd"/>
      <w:r w:rsidRPr="0049149B">
        <w:rPr>
          <w:lang w:val="en-GB"/>
        </w:rPr>
        <w:t xml:space="preserve">, K., </w:t>
      </w:r>
      <w:proofErr w:type="spellStart"/>
      <w:r w:rsidRPr="0049149B">
        <w:rPr>
          <w:lang w:val="en-GB"/>
        </w:rPr>
        <w:t>Matosović</w:t>
      </w:r>
      <w:proofErr w:type="spellEnd"/>
      <w:r w:rsidRPr="0049149B">
        <w:rPr>
          <w:lang w:val="en-GB"/>
        </w:rPr>
        <w:t xml:space="preserve">, M., </w:t>
      </w:r>
      <w:proofErr w:type="spellStart"/>
      <w:r w:rsidRPr="0049149B">
        <w:rPr>
          <w:lang w:val="en-GB"/>
        </w:rPr>
        <w:t>Balzan</w:t>
      </w:r>
      <w:proofErr w:type="spellEnd"/>
      <w:r w:rsidRPr="0049149B">
        <w:rPr>
          <w:lang w:val="en-GB"/>
        </w:rPr>
        <w:t xml:space="preserve">, M.V., </w:t>
      </w:r>
      <w:proofErr w:type="spellStart"/>
      <w:r w:rsidRPr="0049149B">
        <w:rPr>
          <w:lang w:val="en-GB"/>
        </w:rPr>
        <w:t>Smigaj</w:t>
      </w:r>
      <w:proofErr w:type="spellEnd"/>
      <w:r w:rsidRPr="0049149B">
        <w:rPr>
          <w:lang w:val="en-GB"/>
        </w:rPr>
        <w:t xml:space="preserve">, M., </w:t>
      </w:r>
      <w:proofErr w:type="spellStart"/>
      <w:r w:rsidRPr="0049149B">
        <w:rPr>
          <w:lang w:val="en-GB"/>
        </w:rPr>
        <w:t>Baštáková</w:t>
      </w:r>
      <w:proofErr w:type="spellEnd"/>
      <w:r w:rsidRPr="0049149B">
        <w:rPr>
          <w:lang w:val="en-GB"/>
        </w:rPr>
        <w:t xml:space="preserve">, V., </w:t>
      </w:r>
      <w:proofErr w:type="spellStart"/>
      <w:r w:rsidRPr="0049149B">
        <w:rPr>
          <w:lang w:val="en-GB"/>
        </w:rPr>
        <w:t>Streberova</w:t>
      </w:r>
      <w:proofErr w:type="spellEnd"/>
      <w:r w:rsidRPr="0049149B">
        <w:rPr>
          <w:lang w:val="en-GB"/>
        </w:rPr>
        <w:t xml:space="preserve">, E., </w:t>
      </w:r>
      <w:proofErr w:type="spellStart"/>
      <w:r w:rsidRPr="0049149B">
        <w:rPr>
          <w:lang w:val="en-GB"/>
        </w:rPr>
        <w:t>Šel</w:t>
      </w:r>
      <w:proofErr w:type="spellEnd"/>
      <w:r w:rsidRPr="0049149B">
        <w:rPr>
          <w:lang w:val="en-GB"/>
        </w:rPr>
        <w:t xml:space="preserve">, N.B., </w:t>
      </w:r>
      <w:proofErr w:type="spellStart"/>
      <w:r w:rsidRPr="0049149B">
        <w:rPr>
          <w:lang w:val="en-GB"/>
        </w:rPr>
        <w:t>Coste</w:t>
      </w:r>
      <w:proofErr w:type="spellEnd"/>
      <w:r w:rsidRPr="0049149B">
        <w:rPr>
          <w:lang w:val="en-GB"/>
        </w:rPr>
        <w:t xml:space="preserve">, L., Tardieu, L., Altenburg, C., </w:t>
      </w:r>
      <w:proofErr w:type="spellStart"/>
      <w:r w:rsidRPr="0049149B">
        <w:rPr>
          <w:lang w:val="en-GB"/>
        </w:rPr>
        <w:t>Lorencová</w:t>
      </w:r>
      <w:proofErr w:type="spellEnd"/>
      <w:r w:rsidRPr="0049149B">
        <w:rPr>
          <w:lang w:val="en-GB"/>
        </w:rPr>
        <w:t xml:space="preserve">, E.K., </w:t>
      </w:r>
      <w:proofErr w:type="spellStart"/>
      <w:r w:rsidRPr="0049149B">
        <w:rPr>
          <w:lang w:val="en-GB"/>
        </w:rPr>
        <w:t>Orru</w:t>
      </w:r>
      <w:proofErr w:type="spellEnd"/>
      <w:r w:rsidRPr="0049149B">
        <w:rPr>
          <w:lang w:val="en-GB"/>
        </w:rPr>
        <w:t xml:space="preserve">, K., </w:t>
      </w:r>
      <w:proofErr w:type="spellStart"/>
      <w:r w:rsidRPr="0049149B">
        <w:rPr>
          <w:lang w:val="en-GB"/>
        </w:rPr>
        <w:t>Wejs</w:t>
      </w:r>
      <w:proofErr w:type="spellEnd"/>
      <w:r w:rsidRPr="0049149B">
        <w:rPr>
          <w:lang w:val="en-GB"/>
        </w:rPr>
        <w:t xml:space="preserve">, A., </w:t>
      </w:r>
      <w:proofErr w:type="spellStart"/>
      <w:r w:rsidRPr="0049149B">
        <w:rPr>
          <w:lang w:val="en-GB"/>
        </w:rPr>
        <w:t>Feliu</w:t>
      </w:r>
      <w:proofErr w:type="spellEnd"/>
      <w:r w:rsidRPr="0049149B">
        <w:rPr>
          <w:lang w:val="en-GB"/>
        </w:rPr>
        <w:t xml:space="preserve">, E., Church, J.M., </w:t>
      </w:r>
      <w:proofErr w:type="spellStart"/>
      <w:r w:rsidRPr="0049149B">
        <w:rPr>
          <w:lang w:val="en-GB"/>
        </w:rPr>
        <w:t>Grafakos</w:t>
      </w:r>
      <w:proofErr w:type="spellEnd"/>
      <w:r w:rsidRPr="0049149B">
        <w:rPr>
          <w:lang w:val="en-GB"/>
        </w:rPr>
        <w:t xml:space="preserve">, S., </w:t>
      </w:r>
      <w:proofErr w:type="spellStart"/>
      <w:r w:rsidRPr="0049149B">
        <w:rPr>
          <w:lang w:val="en-GB"/>
        </w:rPr>
        <w:t>Vasilie</w:t>
      </w:r>
      <w:proofErr w:type="spellEnd"/>
      <w:r w:rsidRPr="0049149B">
        <w:rPr>
          <w:lang w:val="en-GB"/>
        </w:rPr>
        <w:t xml:space="preserve">, S., </w:t>
      </w:r>
      <w:proofErr w:type="spellStart"/>
      <w:r w:rsidRPr="0049149B">
        <w:rPr>
          <w:lang w:val="en-GB"/>
        </w:rPr>
        <w:t>Paspaldzhiev</w:t>
      </w:r>
      <w:proofErr w:type="spellEnd"/>
      <w:r w:rsidRPr="0049149B">
        <w:rPr>
          <w:lang w:val="en-GB"/>
        </w:rPr>
        <w:t xml:space="preserve">, I., Heidrich, O., 2021. Will climate mitigation ambitions lead to carbon neutrality? An analysis of the local-level plans of 327 cities in the EU. Renew. Sustain. Energy Rev. 135, 110253. </w:t>
      </w:r>
      <w:hyperlink r:id="rId21" w:history="1">
        <w:r w:rsidRPr="00975885" w:rsidDel="00370436">
          <w:rPr>
            <w:rStyle w:val="Hyperlink"/>
            <w:lang w:val="en-GB"/>
          </w:rPr>
          <w:t>https://doi.org/10.1016/j.rser.2020.110253</w:t>
        </w:r>
      </w:hyperlink>
    </w:p>
    <w:p w14:paraId="21641E15" w14:textId="77777777" w:rsidR="00773A39" w:rsidRDefault="0049149B" w:rsidP="00773A39">
      <w:pPr>
        <w:pStyle w:val="Bibliography"/>
        <w:ind w:left="426" w:hanging="426"/>
        <w:rPr>
          <w:lang w:val="en-GB"/>
        </w:rPr>
      </w:pPr>
      <w:r w:rsidRPr="00826F39">
        <w:rPr>
          <w:lang w:val="en-GB"/>
        </w:rPr>
        <w:t>[15]</w:t>
      </w:r>
      <w:r w:rsidRPr="00826F39">
        <w:rPr>
          <w:lang w:val="en-GB"/>
        </w:rPr>
        <w:tab/>
      </w:r>
      <w:proofErr w:type="spellStart"/>
      <w:r w:rsidRPr="0049149B">
        <w:rPr>
          <w:lang w:val="en-GB"/>
        </w:rPr>
        <w:t>Schoenberger</w:t>
      </w:r>
      <w:proofErr w:type="spellEnd"/>
      <w:r w:rsidRPr="0049149B">
        <w:rPr>
          <w:lang w:val="en-GB"/>
        </w:rPr>
        <w:t>, P., 2013. Municipalities as Key Actors of German Renewable Energy Governance: An Analysis of Opportunities, Obstacles, and Multi-Level Influences 39.</w:t>
      </w:r>
    </w:p>
    <w:p w14:paraId="22B599ED" w14:textId="3F64CD84" w:rsidR="00773A39" w:rsidRDefault="00773A39" w:rsidP="00773A39">
      <w:pPr>
        <w:pStyle w:val="Bibliography"/>
        <w:ind w:left="426" w:hanging="426"/>
        <w:rPr>
          <w:lang w:val="en-GB"/>
        </w:rPr>
      </w:pPr>
      <w:r>
        <w:rPr>
          <w:lang w:val="en-GB"/>
        </w:rPr>
        <w:t xml:space="preserve">[16] </w:t>
      </w:r>
      <w:r w:rsidRPr="00773A39">
        <w:rPr>
          <w:lang w:val="en-GB"/>
        </w:rPr>
        <w:t>EU Institute for Energy and Transport - JRC (Joint Research Centre), 201</w:t>
      </w:r>
      <w:r>
        <w:rPr>
          <w:lang w:val="en-GB"/>
        </w:rPr>
        <w:t>8</w:t>
      </w:r>
      <w:r w:rsidRPr="00773A39">
        <w:rPr>
          <w:lang w:val="en-GB"/>
        </w:rPr>
        <w:t xml:space="preserve">. Guidebook “How to Develop a Sustainable Energy </w:t>
      </w:r>
      <w:r>
        <w:rPr>
          <w:lang w:val="en-GB"/>
        </w:rPr>
        <w:t xml:space="preserve">and Climate </w:t>
      </w:r>
      <w:r w:rsidRPr="00773A39">
        <w:rPr>
          <w:lang w:val="en-GB"/>
        </w:rPr>
        <w:t>Action Plan (SE</w:t>
      </w:r>
      <w:r>
        <w:rPr>
          <w:lang w:val="en-GB"/>
        </w:rPr>
        <w:t>C</w:t>
      </w:r>
      <w:r w:rsidRPr="00773A39">
        <w:rPr>
          <w:lang w:val="en-GB"/>
        </w:rPr>
        <w:t xml:space="preserve">AP)” </w:t>
      </w:r>
      <w:proofErr w:type="spellStart"/>
      <w:r w:rsidRPr="00773A39">
        <w:rPr>
          <w:rFonts w:cs="Arial"/>
          <w:color w:val="000000"/>
          <w:lang w:val="en-GB"/>
        </w:rPr>
        <w:t>Andreanidou</w:t>
      </w:r>
      <w:proofErr w:type="spellEnd"/>
      <w:r w:rsidRPr="00773A39">
        <w:rPr>
          <w:rFonts w:cs="Arial"/>
          <w:color w:val="000000"/>
          <w:lang w:val="en-GB"/>
        </w:rPr>
        <w:t>, K., Bertoldi, P.,</w:t>
      </w:r>
      <w:r w:rsidRPr="00773A39">
        <w:rPr>
          <w:lang w:val="en-GB"/>
        </w:rPr>
        <w:t xml:space="preserve"> </w:t>
      </w:r>
      <w:r>
        <w:rPr>
          <w:lang w:val="en-GB"/>
        </w:rPr>
        <w:t xml:space="preserve">and others </w:t>
      </w:r>
      <w:r w:rsidRPr="00773A39">
        <w:rPr>
          <w:lang w:val="en-GB"/>
        </w:rPr>
        <w:t>[WWW Document</w:t>
      </w:r>
      <w:r>
        <w:rPr>
          <w:lang w:val="en-GB"/>
        </w:rPr>
        <w:t xml:space="preserve"> in 3 parts</w:t>
      </w:r>
      <w:r w:rsidRPr="00773A39">
        <w:rPr>
          <w:lang w:val="en-GB"/>
        </w:rPr>
        <w:t>]. EU Sci. Hub - Eur. Comm. URL</w:t>
      </w:r>
      <w:r>
        <w:rPr>
          <w:lang w:val="en-GB"/>
        </w:rPr>
        <w:t xml:space="preserve"> </w:t>
      </w:r>
      <w:hyperlink r:id="rId22" w:history="1">
        <w:r w:rsidRPr="00401D47">
          <w:rPr>
            <w:rStyle w:val="Hyperlink"/>
            <w:lang w:val="en-GB"/>
          </w:rPr>
          <w:t>https://publications.jrc.ec.europa.eu/repository/handle/JRC112986</w:t>
        </w:r>
      </w:hyperlink>
      <w:r>
        <w:rPr>
          <w:lang w:val="en-GB"/>
        </w:rPr>
        <w:t xml:space="preserve"> </w:t>
      </w:r>
    </w:p>
    <w:p w14:paraId="4E3EC5F9" w14:textId="1005EC00" w:rsidR="00773A39" w:rsidRPr="00EA61C2" w:rsidRDefault="00773A39" w:rsidP="00EA61C2">
      <w:pPr>
        <w:pStyle w:val="Bibliography"/>
        <w:ind w:left="426" w:hanging="426"/>
      </w:pPr>
      <w:r>
        <w:rPr>
          <w:lang w:val="en-GB"/>
        </w:rPr>
        <w:t>[1</w:t>
      </w:r>
      <w:r>
        <w:rPr>
          <w:lang w:val="en-GB"/>
        </w:rPr>
        <w:t>7</w:t>
      </w:r>
      <w:r>
        <w:rPr>
          <w:lang w:val="en-GB"/>
        </w:rPr>
        <w:t>]</w:t>
      </w:r>
      <w:r>
        <w:rPr>
          <w:lang w:val="en-GB"/>
        </w:rPr>
        <w:tab/>
      </w:r>
      <w:r w:rsidRPr="00773A39">
        <w:rPr>
          <w:lang w:val="en-GB"/>
        </w:rPr>
        <w:t>Romero-</w:t>
      </w:r>
      <w:proofErr w:type="spellStart"/>
      <w:r w:rsidRPr="00773A39">
        <w:rPr>
          <w:lang w:val="en-GB"/>
        </w:rPr>
        <w:t>Lankao</w:t>
      </w:r>
      <w:proofErr w:type="spellEnd"/>
      <w:r w:rsidRPr="00773A39">
        <w:rPr>
          <w:lang w:val="en-GB"/>
        </w:rPr>
        <w:t xml:space="preserve">, P., Burch, S., Hughes, S., </w:t>
      </w:r>
      <w:proofErr w:type="spellStart"/>
      <w:r w:rsidRPr="00773A39">
        <w:rPr>
          <w:lang w:val="en-GB"/>
        </w:rPr>
        <w:t>Auty</w:t>
      </w:r>
      <w:proofErr w:type="spellEnd"/>
      <w:r w:rsidRPr="00773A39">
        <w:rPr>
          <w:lang w:val="en-GB"/>
        </w:rPr>
        <w:t xml:space="preserve">, K., Aylett, A., </w:t>
      </w:r>
      <w:proofErr w:type="spellStart"/>
      <w:r w:rsidRPr="00773A39">
        <w:rPr>
          <w:lang w:val="en-GB"/>
        </w:rPr>
        <w:t>Krellenberg</w:t>
      </w:r>
      <w:proofErr w:type="spellEnd"/>
      <w:r w:rsidRPr="00773A39">
        <w:rPr>
          <w:lang w:val="en-GB"/>
        </w:rPr>
        <w:t>, K., Nakano, R., Simon, D., and Ziervogel, G. (2018). Governance</w:t>
      </w:r>
      <w:r>
        <w:rPr>
          <w:lang w:val="en-GB"/>
        </w:rPr>
        <w:t xml:space="preserve"> </w:t>
      </w:r>
      <w:r w:rsidRPr="00773A39">
        <w:rPr>
          <w:lang w:val="en-GB"/>
        </w:rPr>
        <w:t xml:space="preserve">and policy. In Rosenzweig, C., W. </w:t>
      </w:r>
      <w:proofErr w:type="spellStart"/>
      <w:r w:rsidRPr="00773A39">
        <w:rPr>
          <w:lang w:val="en-GB"/>
        </w:rPr>
        <w:t>Solecki</w:t>
      </w:r>
      <w:proofErr w:type="spellEnd"/>
      <w:r w:rsidRPr="00773A39">
        <w:rPr>
          <w:lang w:val="en-GB"/>
        </w:rPr>
        <w:t>, P. Romero-</w:t>
      </w:r>
      <w:proofErr w:type="spellStart"/>
      <w:r w:rsidRPr="00773A39">
        <w:rPr>
          <w:lang w:val="en-GB"/>
        </w:rPr>
        <w:t>Lankao</w:t>
      </w:r>
      <w:proofErr w:type="spellEnd"/>
      <w:r w:rsidRPr="00773A39">
        <w:rPr>
          <w:lang w:val="en-GB"/>
        </w:rPr>
        <w:t xml:space="preserve">, S. Mehrotra, S. </w:t>
      </w:r>
      <w:proofErr w:type="spellStart"/>
      <w:r w:rsidRPr="00773A39">
        <w:rPr>
          <w:lang w:val="en-GB"/>
        </w:rPr>
        <w:t>Dhakal</w:t>
      </w:r>
      <w:proofErr w:type="spellEnd"/>
      <w:r w:rsidRPr="00773A39">
        <w:rPr>
          <w:lang w:val="en-GB"/>
        </w:rPr>
        <w:t xml:space="preserve">, and S. Ali Ibrahim (eds.), </w:t>
      </w:r>
      <w:r w:rsidRPr="00773A39">
        <w:rPr>
          <w:i/>
          <w:iCs/>
          <w:lang w:val="en-GB"/>
        </w:rPr>
        <w:t>Climate Change and Cities:</w:t>
      </w:r>
      <w:r>
        <w:rPr>
          <w:lang w:val="en-GB"/>
        </w:rPr>
        <w:t xml:space="preserve"> </w:t>
      </w:r>
      <w:r w:rsidRPr="00773A39">
        <w:rPr>
          <w:i/>
          <w:iCs/>
          <w:lang w:val="en-GB"/>
        </w:rPr>
        <w:t>Second Assessment Report of the Urban Climate Change Research Network</w:t>
      </w:r>
      <w:r w:rsidRPr="00773A39">
        <w:rPr>
          <w:lang w:val="en-GB"/>
        </w:rPr>
        <w:t>. Cambridge University Press. New York 585–606</w:t>
      </w:r>
      <w:r>
        <w:rPr>
          <w:lang w:val="en-GB"/>
        </w:rPr>
        <w:t xml:space="preserve"> </w:t>
      </w:r>
      <w:hyperlink r:id="rId23" w:history="1">
        <w:r>
          <w:rPr>
            <w:rStyle w:val="Hyperlink"/>
            <w:rFonts w:ascii="Helvetica" w:hAnsi="Helvetica"/>
            <w:szCs w:val="20"/>
            <w:bdr w:val="none" w:sz="0" w:space="0" w:color="auto" w:frame="1"/>
            <w:shd w:val="clear" w:color="auto" w:fill="FBFBFB"/>
          </w:rPr>
          <w:t>https://doi-org.uaccess.univie.ac.at/10.1017/9781316563878.023</w:t>
        </w:r>
      </w:hyperlink>
    </w:p>
    <w:p w14:paraId="404F83D9" w14:textId="11783E72" w:rsidR="00BE0EF4" w:rsidRPr="00BE0EF4" w:rsidRDefault="00BE0EF4" w:rsidP="00BE0EF4">
      <w:pPr>
        <w:rPr>
          <w:lang w:val="en-GB"/>
        </w:rPr>
      </w:pPr>
    </w:p>
    <w:sectPr w:rsidR="00BE0EF4" w:rsidRPr="00BE0E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6439" w14:textId="77777777" w:rsidR="00D01007" w:rsidRDefault="00D01007">
      <w:r>
        <w:separator/>
      </w:r>
    </w:p>
  </w:endnote>
  <w:endnote w:type="continuationSeparator" w:id="0">
    <w:p w14:paraId="1CFBD632" w14:textId="77777777" w:rsidR="00D01007" w:rsidRDefault="00D0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2D22" w14:textId="77777777" w:rsidR="00D01007" w:rsidRDefault="00D01007">
      <w:r>
        <w:separator/>
      </w:r>
    </w:p>
  </w:footnote>
  <w:footnote w:type="continuationSeparator" w:id="0">
    <w:p w14:paraId="10854A4D" w14:textId="77777777" w:rsidR="00D01007" w:rsidRDefault="00D0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1214B1"/>
    <w:rsid w:val="002014D3"/>
    <w:rsid w:val="00227125"/>
    <w:rsid w:val="00262FD5"/>
    <w:rsid w:val="002946B8"/>
    <w:rsid w:val="002C0AE1"/>
    <w:rsid w:val="00350F98"/>
    <w:rsid w:val="00370436"/>
    <w:rsid w:val="00372E07"/>
    <w:rsid w:val="003B676F"/>
    <w:rsid w:val="003C28FE"/>
    <w:rsid w:val="003C763C"/>
    <w:rsid w:val="003F46A5"/>
    <w:rsid w:val="004628F6"/>
    <w:rsid w:val="00483B87"/>
    <w:rsid w:val="0049149B"/>
    <w:rsid w:val="004A34D6"/>
    <w:rsid w:val="004E20B0"/>
    <w:rsid w:val="004E584F"/>
    <w:rsid w:val="004E6560"/>
    <w:rsid w:val="00545930"/>
    <w:rsid w:val="00586243"/>
    <w:rsid w:val="005B1ADB"/>
    <w:rsid w:val="005B6100"/>
    <w:rsid w:val="005E4D4F"/>
    <w:rsid w:val="00635D60"/>
    <w:rsid w:val="006533AA"/>
    <w:rsid w:val="00656527"/>
    <w:rsid w:val="00662525"/>
    <w:rsid w:val="00702611"/>
    <w:rsid w:val="007378C8"/>
    <w:rsid w:val="00741EC0"/>
    <w:rsid w:val="00773A39"/>
    <w:rsid w:val="00774916"/>
    <w:rsid w:val="007B0EAC"/>
    <w:rsid w:val="00803917"/>
    <w:rsid w:val="00826F39"/>
    <w:rsid w:val="00A03AAE"/>
    <w:rsid w:val="00A07737"/>
    <w:rsid w:val="00A156E4"/>
    <w:rsid w:val="00A32D3B"/>
    <w:rsid w:val="00A6148D"/>
    <w:rsid w:val="00BA36F7"/>
    <w:rsid w:val="00BA6553"/>
    <w:rsid w:val="00BE0EF4"/>
    <w:rsid w:val="00BF05FA"/>
    <w:rsid w:val="00C4638B"/>
    <w:rsid w:val="00CD07BD"/>
    <w:rsid w:val="00CE1A70"/>
    <w:rsid w:val="00CE3187"/>
    <w:rsid w:val="00D01007"/>
    <w:rsid w:val="00D24182"/>
    <w:rsid w:val="00D53E86"/>
    <w:rsid w:val="00D736F8"/>
    <w:rsid w:val="00DA273F"/>
    <w:rsid w:val="00DC5FAE"/>
    <w:rsid w:val="00E520E6"/>
    <w:rsid w:val="00EA61C2"/>
    <w:rsid w:val="00EC783F"/>
    <w:rsid w:val="00F44CE0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FF067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39"/>
    <w:pPr>
      <w:jc w:val="both"/>
    </w:pPr>
    <w:rPr>
      <w:rFonts w:ascii="Arial" w:hAnsi="Arial"/>
      <w:szCs w:val="24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le">
    <w:name w:val="Title"/>
    <w:basedOn w:val="Normal"/>
    <w:link w:val="TitleChar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NoList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Normal"/>
    <w:rsid w:val="002946B8"/>
    <w:rPr>
      <w:i/>
      <w:iCs/>
    </w:rPr>
  </w:style>
  <w:style w:type="character" w:customStyle="1" w:styleId="TitleChar">
    <w:name w:val="Title Char"/>
    <w:link w:val="Title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Normal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le"/>
    <w:rsid w:val="005E4D4F"/>
    <w:rPr>
      <w:rFonts w:cs="Arial"/>
    </w:rPr>
  </w:style>
  <w:style w:type="paragraph" w:customStyle="1" w:styleId="AutorenOrganisation">
    <w:name w:val="Autoren &amp; Organisation"/>
    <w:basedOn w:val="Normal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Normal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4E6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56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4638B"/>
    <w:pPr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6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8F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8F6"/>
    <w:rPr>
      <w:rFonts w:ascii="Arial" w:hAnsi="Arial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8F6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942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maps.eu/map" TargetMode="External"/><Relationship Id="rId13" Type="http://schemas.openxmlformats.org/officeDocument/2006/relationships/hyperlink" Target="https://www.covenantofmayors.eu/about/covenant-initiative/origins-and-development.html" TargetMode="External"/><Relationship Id="rId18" Type="http://schemas.openxmlformats.org/officeDocument/2006/relationships/hyperlink" Target="https://doi.org/10.1016/j.jenvman.2019.110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rser.2020.1102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02/eet.1747" TargetMode="External"/><Relationship Id="rId17" Type="http://schemas.openxmlformats.org/officeDocument/2006/relationships/hyperlink" Target="https://doi.org/10.1016/j.scs.2018.05.01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rser.2019.109623" TargetMode="External"/><Relationship Id="rId20" Type="http://schemas.openxmlformats.org/officeDocument/2006/relationships/hyperlink" Target="https://doi.org/10.1016/j.scs.2020.1022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su1203091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clepro.2017.05.165" TargetMode="External"/><Relationship Id="rId23" Type="http://schemas.openxmlformats.org/officeDocument/2006/relationships/hyperlink" Target="https://doi-org.uaccess.univie.ac.at/10.1017/9781316563878.023" TargetMode="External"/><Relationship Id="rId10" Type="http://schemas.openxmlformats.org/officeDocument/2006/relationships/hyperlink" Target="https://doi.org/10.1186/s13705-020-00277-y" TargetMode="External"/><Relationship Id="rId19" Type="http://schemas.openxmlformats.org/officeDocument/2006/relationships/hyperlink" Target="https://doi.org/10.1016/j.jclepro.2017.12.1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016/j.scs.2018.01.013" TargetMode="External"/><Relationship Id="rId22" Type="http://schemas.openxmlformats.org/officeDocument/2006/relationships/hyperlink" Target="https://publications.jrc.ec.europa.eu/repository/handle/JRC11298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D17D-459C-44DA-8CDD-2255827D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>TU-Wien Campuslizenz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Giulia Conforto</cp:lastModifiedBy>
  <cp:revision>2</cp:revision>
  <dcterms:created xsi:type="dcterms:W3CDTF">2021-06-22T10:36:00Z</dcterms:created>
  <dcterms:modified xsi:type="dcterms:W3CDTF">2021-06-22T10:36:00Z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id="jUyjWeTb"/&gt;&lt;style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