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4F" w:rsidRPr="005E4D4F" w:rsidRDefault="00A2364E" w:rsidP="005E4D4F">
      <w:pPr>
        <w:pStyle w:val="Abstract-Titel"/>
      </w:pPr>
      <w:r w:rsidRPr="00A2364E">
        <w:t xml:space="preserve">Status der Energieeffizienz in Österreich – </w:t>
      </w:r>
      <w:r w:rsidR="006F6F56">
        <w:br/>
      </w:r>
      <w:r w:rsidRPr="00A2364E">
        <w:t>neue nat</w:t>
      </w:r>
      <w:r>
        <w:t>ionale und europäische Vorgaben</w:t>
      </w:r>
    </w:p>
    <w:p w:rsidR="00BF05FA" w:rsidRDefault="00BF05FA" w:rsidP="00A156E4">
      <w:pPr>
        <w:pStyle w:val="AutorenOrganisation"/>
      </w:pPr>
      <w:r>
        <w:t>Themenbereich</w:t>
      </w:r>
      <w:r w:rsidR="00A2364E">
        <w:t xml:space="preserve"> 1: Klima- und Energiepolitik</w:t>
      </w:r>
    </w:p>
    <w:p w:rsidR="00A2364E" w:rsidRPr="001F3DA0" w:rsidRDefault="00A2364E" w:rsidP="00A2364E">
      <w:pPr>
        <w:pStyle w:val="AutorenOrganisation"/>
      </w:pPr>
      <w:r w:rsidRPr="001F3DA0">
        <w:t>Günter SIMADER, Gregor THENIUS, Christoph PLOINER</w:t>
      </w:r>
    </w:p>
    <w:p w:rsidR="00A2364E" w:rsidRDefault="00A2364E" w:rsidP="00A2364E">
      <w:pPr>
        <w:pStyle w:val="AutorenOrganisation"/>
      </w:pPr>
      <w:r>
        <w:t>Austrian Energy Agency</w:t>
      </w:r>
    </w:p>
    <w:p w:rsidR="005E4D4F" w:rsidRDefault="005E4D4F" w:rsidP="005E4D4F">
      <w:pPr>
        <w:pStyle w:val="AutorenOrganisation"/>
      </w:pPr>
    </w:p>
    <w:p w:rsidR="00A07737" w:rsidRPr="005E4D4F" w:rsidRDefault="00A07737" w:rsidP="00FB69AE">
      <w:pPr>
        <w:rPr>
          <w:lang w:val="de-AT"/>
        </w:rPr>
      </w:pPr>
    </w:p>
    <w:p w:rsidR="005E4D4F" w:rsidRPr="005E4D4F" w:rsidRDefault="005E4D4F" w:rsidP="005E4D4F">
      <w:pPr>
        <w:pStyle w:val="Ueberschrift"/>
      </w:pPr>
      <w:r w:rsidRPr="005E4D4F">
        <w:t>Motivation und zentrale Fragestellung</w:t>
      </w:r>
    </w:p>
    <w:p w:rsidR="00665620" w:rsidRDefault="00665620" w:rsidP="00A2364E">
      <w:r>
        <w:t xml:space="preserve">Die Novelle der europäischen Energieeffizienz-Richtlinie im Jahr 2018 brachte ein neues Energieffizienzziel von 32,5 % </w:t>
      </w:r>
      <w:r w:rsidR="00AA4EF8">
        <w:t xml:space="preserve">für das Jahr 2030 </w:t>
      </w:r>
      <w:r>
        <w:t>(gegenüber dem pr</w:t>
      </w:r>
      <w:r w:rsidRPr="00665620">
        <w:t>ognostizierten Energieverbrauch</w:t>
      </w:r>
      <w:r>
        <w:t xml:space="preserve">). </w:t>
      </w:r>
    </w:p>
    <w:p w:rsidR="00665620" w:rsidRDefault="00665620" w:rsidP="00A2364E"/>
    <w:p w:rsidR="00665620" w:rsidRDefault="001F3DA0" w:rsidP="00665620">
      <w:r>
        <w:t xml:space="preserve">Im September </w:t>
      </w:r>
      <w:r w:rsidR="00665620">
        <w:t xml:space="preserve">2020 </w:t>
      </w:r>
      <w:r>
        <w:t xml:space="preserve">gab die EU </w:t>
      </w:r>
      <w:r w:rsidR="00F375D2">
        <w:t>Kommission</w:t>
      </w:r>
      <w:r>
        <w:t xml:space="preserve"> neue </w:t>
      </w:r>
      <w:r w:rsidR="00665620">
        <w:t xml:space="preserve">europäische Klimaschutzziele bis 2030 bekannt. Um die Klimaneutralität bis 2050 auch tatsächlich zu erreichen, wurde vorgeschlagen, dass </w:t>
      </w:r>
      <w:r w:rsidR="00665620" w:rsidRPr="00B13177">
        <w:t>die Netto-Treibhausgasemissionen innerhalb der EU um mindestens 55 % reduziert werden</w:t>
      </w:r>
      <w:r w:rsidR="00665620">
        <w:t xml:space="preserve"> müssen (anstatt der bisherigen 40 %). Der Europäische Rat billigt</w:t>
      </w:r>
      <w:r w:rsidR="00AA4EF8">
        <w:t>e</w:t>
      </w:r>
      <w:r w:rsidR="00665620">
        <w:t xml:space="preserve"> in seinen Schlussfolgerungen vom 10./11. Dezember 2020 dieses verbindliche Ziel der EU. Dieses Ziel </w:t>
      </w:r>
      <w:r w:rsidR="00835C5C">
        <w:t>soll</w:t>
      </w:r>
      <w:r w:rsidR="00665620">
        <w:t xml:space="preserve"> – ebenso wie die Klimaneutralität 2050 - im europäischen Klimaschutzgesetz verbindlich festgeschrieben</w:t>
      </w:r>
      <w:r w:rsidR="00835C5C">
        <w:t xml:space="preserve"> werden</w:t>
      </w:r>
      <w:r w:rsidR="00665620">
        <w:t xml:space="preserve">. </w:t>
      </w:r>
    </w:p>
    <w:p w:rsidR="00665620" w:rsidRDefault="00665620" w:rsidP="00665620"/>
    <w:p w:rsidR="00216554" w:rsidRDefault="00665620" w:rsidP="00665620">
      <w:r>
        <w:t xml:space="preserve">Die Folgenabschätzung der Kommission </w:t>
      </w:r>
      <w:r w:rsidR="00835C5C">
        <w:t xml:space="preserve">für dieses adaptierte </w:t>
      </w:r>
      <w:r>
        <w:t>Klim</w:t>
      </w:r>
      <w:r w:rsidR="001F3DA0">
        <w:t>a</w:t>
      </w:r>
      <w:r>
        <w:t>schutzziel 2030 zeigt, dass für die Erreichung</w:t>
      </w:r>
      <w:r w:rsidR="00AA4EF8">
        <w:t xml:space="preserve"> dieses Ziels,</w:t>
      </w:r>
      <w:r>
        <w:t xml:space="preserve"> der End- und der Primärenergieverbrauch im Jahr 2030 deutlich stärker als für das bisherige Ziel zurückgehen muss. Beim Primärenergie</w:t>
      </w:r>
      <w:r w:rsidR="00835C5C">
        <w:t>verbrauch</w:t>
      </w:r>
      <w:r>
        <w:t xml:space="preserve"> wird nunmehr von einer erforderlichen Reduktion zwischen 39 bis 41 % im Vergleich zu 1990 ausgegangen, beim Endenergieverbrauch zwischen 36 bis 37 % (bisheriges Ziel gemäß novellierter Energieeffizienz-Richtlinie</w:t>
      </w:r>
      <w:r w:rsidR="00B13177">
        <w:t xml:space="preserve"> </w:t>
      </w:r>
      <w:r w:rsidR="00B13177">
        <w:t>2018/2002</w:t>
      </w:r>
      <w:r>
        <w:t xml:space="preserve"> lag bei 32,5 %). Neben der Steigerung der Energieeffizienz sollen erneuerbare Energieträger in einem größeren Maßstab eingesetzt werden. Die Zielvorgaben für die Erneuerbare</w:t>
      </w:r>
      <w:r w:rsidR="00835C5C">
        <w:t>n</w:t>
      </w:r>
      <w:r>
        <w:t xml:space="preserve"> im Energiemix für 2030 sollen bei 38 bis</w:t>
      </w:r>
      <w:r w:rsidR="001F3DA0">
        <w:t xml:space="preserve"> 40 % liegen.</w:t>
      </w:r>
      <w:r w:rsidR="00216554">
        <w:t xml:space="preserve"> Um diese Ziele letztendlich zu erreichen ist von Seiten der EU Kommission ein Prozess initi</w:t>
      </w:r>
      <w:r w:rsidR="00B13177">
        <w:t>i</w:t>
      </w:r>
      <w:r w:rsidR="00216554">
        <w:t>ert worden</w:t>
      </w:r>
      <w:r w:rsidR="00835C5C">
        <w:t xml:space="preserve"> (</w:t>
      </w:r>
      <w:r w:rsidR="00835C5C" w:rsidRPr="00835C5C">
        <w:t>Fit for 55 package under the European Green Deal</w:t>
      </w:r>
      <w:r w:rsidR="00835C5C">
        <w:t>)</w:t>
      </w:r>
      <w:r w:rsidR="00216554">
        <w:t xml:space="preserve">, der ua die Novellierungen der europäischen Energieeffizienz-Richtlinie und </w:t>
      </w:r>
      <w:r w:rsidR="00835C5C">
        <w:t xml:space="preserve">der </w:t>
      </w:r>
      <w:r w:rsidR="00216554">
        <w:t>erneuerbaren ‚Richtlinie</w:t>
      </w:r>
      <w:r w:rsidR="00AA4EF8">
        <w:t xml:space="preserve"> im nächsten Jahr</w:t>
      </w:r>
      <w:r w:rsidR="00216554">
        <w:t xml:space="preserve"> zum Ziel haben.</w:t>
      </w:r>
    </w:p>
    <w:p w:rsidR="00A2364E" w:rsidRDefault="00A2364E" w:rsidP="00A2364E"/>
    <w:p w:rsidR="00A7444A" w:rsidRDefault="001F3DA0" w:rsidP="00A2364E">
      <w:r>
        <w:t>Die zentrale Fragestellung ist</w:t>
      </w:r>
      <w:r w:rsidR="00835C5C">
        <w:t xml:space="preserve"> nunmehr</w:t>
      </w:r>
      <w:r>
        <w:t xml:space="preserve">, welche </w:t>
      </w:r>
      <w:r w:rsidR="00A7444A">
        <w:t>Effizienzz</w:t>
      </w:r>
      <w:r>
        <w:t xml:space="preserve">iele </w:t>
      </w:r>
      <w:r w:rsidR="00A7444A">
        <w:t xml:space="preserve">sich </w:t>
      </w:r>
      <w:r>
        <w:t>Österreich bis zum Jahr 2030</w:t>
      </w:r>
      <w:r w:rsidR="00A7444A">
        <w:t xml:space="preserve"> </w:t>
      </w:r>
      <w:r w:rsidR="00835C5C">
        <w:t>setzt</w:t>
      </w:r>
      <w:r w:rsidR="00216554">
        <w:t xml:space="preserve"> und durch welches In</w:t>
      </w:r>
      <w:r w:rsidR="00C239D3">
        <w:t xml:space="preserve">strumenten-Portfolio </w:t>
      </w:r>
      <w:r w:rsidR="00E33790">
        <w:t>dieses Ziel</w:t>
      </w:r>
      <w:r w:rsidR="00216554">
        <w:t xml:space="preserve"> letztendlich erreicht werden soll</w:t>
      </w:r>
      <w:r w:rsidR="00A7444A">
        <w:t xml:space="preserve">. </w:t>
      </w:r>
    </w:p>
    <w:p w:rsidR="005E4D4F" w:rsidRPr="005E4D4F" w:rsidRDefault="005E4D4F" w:rsidP="00227125"/>
    <w:p w:rsidR="005E4D4F" w:rsidRPr="005E4D4F" w:rsidRDefault="005E4D4F" w:rsidP="005E4D4F">
      <w:pPr>
        <w:pStyle w:val="Ueberschrift"/>
      </w:pPr>
      <w:r w:rsidRPr="005E4D4F">
        <w:t>Methodische Vorgangsweise</w:t>
      </w:r>
    </w:p>
    <w:p w:rsidR="009A639A" w:rsidRDefault="00A2364E" w:rsidP="00A2364E">
      <w:r>
        <w:t>In Österreich wurden</w:t>
      </w:r>
      <w:r w:rsidR="00A7444A">
        <w:t xml:space="preserve"> bzw. werden</w:t>
      </w:r>
      <w:r>
        <w:t xml:space="preserve"> wesentliche Artikel der </w:t>
      </w:r>
      <w:r w:rsidRPr="00B13177">
        <w:t>Energieeffizienz-Richtlinie (2012/27/EU) zum</w:t>
      </w:r>
      <w:r>
        <w:t xml:space="preserve"> einen mit dem Bundes-Energieeffizienzgeset</w:t>
      </w:r>
      <w:r w:rsidRPr="00B13177">
        <w:t>z (EEffG, BGBl. I Nr.72/2014)</w:t>
      </w:r>
      <w:r>
        <w:t xml:space="preserve"> und zum anderen mit einem Maßnahmen-Bündel von Bund und Ländern (u.a. Umweltförderung im Inland, Wohnbauförderung) umgesetzt. </w:t>
      </w:r>
      <w:r w:rsidR="00216554">
        <w:t xml:space="preserve">Die Umsetzung der novellierten </w:t>
      </w:r>
      <w:r w:rsidR="00216554" w:rsidRPr="009A639A">
        <w:t>Energieeffizienz-Richtlinie (</w:t>
      </w:r>
      <w:r w:rsidR="00B13177" w:rsidRPr="009A639A">
        <w:t>2018/2002</w:t>
      </w:r>
      <w:r w:rsidR="00216554" w:rsidRPr="009A639A">
        <w:t>) ist</w:t>
      </w:r>
      <w:r w:rsidR="00216554">
        <w:t xml:space="preserve"> derzeit in Arbeit. </w:t>
      </w:r>
      <w:r w:rsidR="009A639A">
        <w:t xml:space="preserve">Für die Erreichung der Energieeffizienzziele ist insbesondere die Umsetzung des Artikel 7 </w:t>
      </w:r>
      <w:r w:rsidR="00835C5C">
        <w:t>(Energieeffizienz-Verpflichtungssystem</w:t>
      </w:r>
      <w:r w:rsidR="00835C5C">
        <w:t xml:space="preserve">) von Interesse. </w:t>
      </w:r>
      <w:r w:rsidR="00B13177">
        <w:t>Grundsätzlich stehen folgende Möglichkeiten</w:t>
      </w:r>
      <w:r w:rsidR="009A639A">
        <w:t xml:space="preserve"> zur Verfügung:</w:t>
      </w:r>
    </w:p>
    <w:p w:rsidR="00B13177" w:rsidRDefault="00B13177" w:rsidP="00A2364E"/>
    <w:p w:rsidR="004B42F7" w:rsidRPr="004B42F7" w:rsidRDefault="004B42F7" w:rsidP="004B42F7">
      <w:pPr>
        <w:numPr>
          <w:ilvl w:val="0"/>
          <w:numId w:val="3"/>
        </w:numPr>
      </w:pPr>
      <w:r w:rsidRPr="004B42F7">
        <w:t>Weiterentwicklung des derzeitigen Systems</w:t>
      </w:r>
      <w:r>
        <w:t xml:space="preserve"> (Mischsystem zwischen Lieferantenverpflichtung und alternativer</w:t>
      </w:r>
      <w:r w:rsidR="00AA4EF8">
        <w:t xml:space="preserve"> strategischer</w:t>
      </w:r>
      <w:r>
        <w:t xml:space="preserve"> Maßnahmen)</w:t>
      </w:r>
      <w:r w:rsidRPr="004B42F7">
        <w:t xml:space="preserve"> </w:t>
      </w:r>
    </w:p>
    <w:p w:rsidR="004B42F7" w:rsidRPr="004B42F7" w:rsidRDefault="004B42F7" w:rsidP="004B42F7">
      <w:pPr>
        <w:numPr>
          <w:ilvl w:val="0"/>
          <w:numId w:val="3"/>
        </w:numPr>
      </w:pPr>
      <w:r>
        <w:t xml:space="preserve">Alleinig </w:t>
      </w:r>
      <w:r w:rsidRPr="004B42F7">
        <w:t>mittels alternativer strategischer Maßnahmen</w:t>
      </w:r>
    </w:p>
    <w:p w:rsidR="004B42F7" w:rsidRPr="004B42F7" w:rsidRDefault="004B42F7" w:rsidP="004B42F7">
      <w:pPr>
        <w:numPr>
          <w:ilvl w:val="0"/>
          <w:numId w:val="3"/>
        </w:numPr>
      </w:pPr>
      <w:r w:rsidRPr="004B42F7">
        <w:t>Einrichtung eines Effizienzfonds</w:t>
      </w:r>
    </w:p>
    <w:p w:rsidR="004B42F7" w:rsidRPr="004B42F7" w:rsidRDefault="004B42F7" w:rsidP="004B42F7">
      <w:pPr>
        <w:numPr>
          <w:ilvl w:val="0"/>
          <w:numId w:val="3"/>
        </w:numPr>
      </w:pPr>
      <w:r w:rsidRPr="004B42F7">
        <w:t>Branchenverpflichtungen</w:t>
      </w:r>
    </w:p>
    <w:p w:rsidR="004B42F7" w:rsidRDefault="004B42F7" w:rsidP="004B42F7">
      <w:pPr>
        <w:numPr>
          <w:ilvl w:val="0"/>
          <w:numId w:val="3"/>
        </w:numPr>
      </w:pPr>
      <w:r w:rsidRPr="004B42F7">
        <w:t>Zertifikatesystem (‚white certificates‘)</w:t>
      </w:r>
      <w:r>
        <w:t xml:space="preserve"> oder</w:t>
      </w:r>
    </w:p>
    <w:p w:rsidR="004B42F7" w:rsidRDefault="004B42F7" w:rsidP="004B42F7">
      <w:pPr>
        <w:numPr>
          <w:ilvl w:val="0"/>
          <w:numId w:val="3"/>
        </w:numPr>
      </w:pPr>
      <w:r>
        <w:t xml:space="preserve">Neues Mischsystem </w:t>
      </w:r>
    </w:p>
    <w:p w:rsidR="009A639A" w:rsidRDefault="009A639A" w:rsidP="00125B75"/>
    <w:p w:rsidR="00A2364E" w:rsidRDefault="004B42F7" w:rsidP="004B42F7">
      <w:r>
        <w:t>Basierend auf dem Regierungsprogramm wird eine Weiterentwicklung des bisherigen Systems in Kombination mit einem Fonds erwartet. Den Energielieferanten wird somit die Möglichkeit gegeben mittels Ersatzzahlungen in einen Fonds ihre individuellen Verpflichtungen zu erfüllen</w:t>
      </w:r>
      <w:r w:rsidR="00AA4EF8">
        <w:t xml:space="preserve"> (anstelle des Setzens von </w:t>
      </w:r>
      <w:r w:rsidR="00E33790">
        <w:t>Energieeffizienz</w:t>
      </w:r>
      <w:r w:rsidR="00AA4EF8">
        <w:t>-Maßnahmen)</w:t>
      </w:r>
      <w:r>
        <w:t xml:space="preserve">. </w:t>
      </w:r>
    </w:p>
    <w:p w:rsidR="00A2364E" w:rsidRDefault="00A2364E" w:rsidP="00A2364E"/>
    <w:p w:rsidR="00A7444A" w:rsidRDefault="00A7444A" w:rsidP="00A7444A">
      <w:r>
        <w:t>Dieser Beitrag zeigt den Status der Energieeffizienz in Österreich, die Verb</w:t>
      </w:r>
      <w:r w:rsidRPr="00835C5C">
        <w:t xml:space="preserve">esserungen der Energieeffizienz, die in den letzten Jahren erzielt werden konnten und die – basierend auf den europäischen Richtlinien - erforderlichen Zielvorgaben für die Energieeffizienz für das Jahr 2030 auf. </w:t>
      </w:r>
      <w:r w:rsidR="00835C5C" w:rsidRPr="00835C5C">
        <w:t>Bei Vorliegen eines Gesetzesentwurfs wird dieser ebenfalls analysiert und präsentiert.</w:t>
      </w:r>
      <w:r w:rsidR="00835C5C">
        <w:t xml:space="preserve"> </w:t>
      </w:r>
    </w:p>
    <w:p w:rsidR="00A7444A" w:rsidRDefault="00A7444A" w:rsidP="00A7444A"/>
    <w:p w:rsidR="005E4D4F" w:rsidRPr="005E4D4F" w:rsidRDefault="005E4D4F" w:rsidP="005E4D4F">
      <w:pPr>
        <w:pStyle w:val="Ueberschrift"/>
      </w:pPr>
      <w:r w:rsidRPr="005E4D4F">
        <w:t>Ergebnisse und Schlussfolgerungen</w:t>
      </w:r>
    </w:p>
    <w:p w:rsidR="00A2364E" w:rsidRDefault="00A7444A" w:rsidP="00A2364E">
      <w:r>
        <w:t xml:space="preserve">Bis vor der Covid-Pandemie wurde es als sehr unwahrscheinlich angesehen, dass Österreich den angepeilten Zielwert von 1.050 PJ </w:t>
      </w:r>
      <w:r w:rsidR="00125B75">
        <w:t xml:space="preserve">für den Endenergieverbrauch </w:t>
      </w:r>
      <w:r>
        <w:t xml:space="preserve">im Jahr 2020 auch tatsächlich erreichen wird. Die vorläufige Energiebilanz der Statistik Austria weist </w:t>
      </w:r>
      <w:r w:rsidR="00125B75">
        <w:t xml:space="preserve">nunmehr </w:t>
      </w:r>
      <w:r>
        <w:t xml:space="preserve">gegenüber dem Jahr 2019 einen </w:t>
      </w:r>
      <w:r w:rsidRPr="00A7444A">
        <w:t xml:space="preserve">um -7% </w:t>
      </w:r>
      <w:r>
        <w:t xml:space="preserve">niedrigeren Endenergieverbrauch von </w:t>
      </w:r>
      <w:r w:rsidRPr="00A7444A">
        <w:t>1.055 PJ a</w:t>
      </w:r>
      <w:r>
        <w:t xml:space="preserve">us (siehe nachfolgende Abbildung). </w:t>
      </w:r>
      <w:r w:rsidR="00DF751C">
        <w:t xml:space="preserve">Allerdings handelt es sich im Jahr 2020 um kein Regeljahr, der Rückgang wird insbesondere auf </w:t>
      </w:r>
      <w:r w:rsidR="00DF751C" w:rsidRPr="00DF751C">
        <w:t>Auswirkungen durch</w:t>
      </w:r>
      <w:r w:rsidR="00DF751C">
        <w:t xml:space="preserve"> </w:t>
      </w:r>
      <w:r w:rsidR="00DF751C" w:rsidRPr="00DF751C">
        <w:t xml:space="preserve">die Reisebeschränkungen und </w:t>
      </w:r>
      <w:r w:rsidR="00DF751C">
        <w:t xml:space="preserve">durch den geringeren Treibstoffverbrauch (aufgrund </w:t>
      </w:r>
      <w:r w:rsidR="00DF751C" w:rsidRPr="00DF751C">
        <w:t>vermehrte</w:t>
      </w:r>
      <w:r w:rsidR="00DF751C">
        <w:t>r</w:t>
      </w:r>
      <w:r w:rsidR="00DF751C" w:rsidRPr="00DF751C">
        <w:t xml:space="preserve"> Tätigkeit im Home-Office</w:t>
      </w:r>
      <w:r w:rsidR="00DF751C">
        <w:t xml:space="preserve">) </w:t>
      </w:r>
      <w:r w:rsidR="00555D17">
        <w:t>aufgrund de</w:t>
      </w:r>
      <w:r w:rsidR="00835C5C">
        <w:t>r</w:t>
      </w:r>
      <w:r w:rsidR="00555D17">
        <w:t xml:space="preserve"> Lock-Down Zeiten </w:t>
      </w:r>
      <w:r w:rsidR="00DF751C">
        <w:t>zurück</w:t>
      </w:r>
      <w:r w:rsidR="00125B75">
        <w:t>geführt.</w:t>
      </w:r>
      <w:r w:rsidR="00DF751C">
        <w:t xml:space="preserve"> </w:t>
      </w:r>
    </w:p>
    <w:p w:rsidR="00DF751C" w:rsidRDefault="00DF751C" w:rsidP="00A2364E"/>
    <w:p w:rsidR="00A2364E" w:rsidRDefault="001F3DA0" w:rsidP="00A2364E">
      <w:r>
        <w:rPr>
          <w:noProof/>
          <w:lang w:val="de-AT" w:eastAsia="de-AT"/>
        </w:rPr>
        <w:drawing>
          <wp:inline distT="0" distB="0" distL="0" distR="0" wp14:anchorId="1E03EDBF">
            <wp:extent cx="5046562" cy="1124398"/>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4929" cy="1132946"/>
                    </a:xfrm>
                    <a:prstGeom prst="rect">
                      <a:avLst/>
                    </a:prstGeom>
                    <a:noFill/>
                  </pic:spPr>
                </pic:pic>
              </a:graphicData>
            </a:graphic>
          </wp:inline>
        </w:drawing>
      </w:r>
    </w:p>
    <w:p w:rsidR="00DF751C" w:rsidRPr="002946B8" w:rsidRDefault="00DF751C" w:rsidP="00DF751C">
      <w:pPr>
        <w:pStyle w:val="Abbildungsbeschriftung"/>
      </w:pPr>
      <w:r w:rsidRPr="002946B8">
        <w:t xml:space="preserve">Abbildung 1: </w:t>
      </w:r>
      <w:r>
        <w:t>Entwicklung des Endenergieverbrauchs in Österreich mit Zielerreichungspfad gemäß Energieeffizienzgesetz</w:t>
      </w:r>
    </w:p>
    <w:p w:rsidR="001F3DA0" w:rsidRDefault="001F3DA0" w:rsidP="00A2364E"/>
    <w:p w:rsidR="00512965" w:rsidRDefault="00555D17" w:rsidP="00096EA4">
      <w:r>
        <w:t xml:space="preserve">Für die ‚Erreichung der 2030iger Ziele ist </w:t>
      </w:r>
      <w:r w:rsidR="00125B75">
        <w:t xml:space="preserve">basierend auf der novellierten europäischen </w:t>
      </w:r>
      <w:r w:rsidR="00F375D2">
        <w:t>Energieeffizienz</w:t>
      </w:r>
      <w:r w:rsidR="00125B75">
        <w:t xml:space="preserve">-Richtlinie </w:t>
      </w:r>
      <w:r w:rsidR="00135D98">
        <w:t xml:space="preserve">ein Endenergieverbrauch </w:t>
      </w:r>
      <w:r w:rsidR="00125B75">
        <w:t xml:space="preserve">von 920 PJ (minus 32,5 %) </w:t>
      </w:r>
      <w:r w:rsidR="00EC29A7" w:rsidRPr="00EC29A7">
        <w:t xml:space="preserve">– dem PRIMES Modell folgend – </w:t>
      </w:r>
      <w:r w:rsidR="00125B75">
        <w:t>zu erreichen. Wenn die neuen Ziel</w:t>
      </w:r>
      <w:r w:rsidR="00135D98">
        <w:t>e</w:t>
      </w:r>
      <w:r w:rsidR="00125B75">
        <w:t xml:space="preserve"> für 2030 berücksichtigt werden sollen (Stichwort: 55 %ige Reduktion der Treibhausgase)</w:t>
      </w:r>
      <w:r w:rsidR="00EC29A7">
        <w:t>,</w:t>
      </w:r>
      <w:r w:rsidR="00125B75">
        <w:t xml:space="preserve"> muss der Endenerg</w:t>
      </w:r>
      <w:r w:rsidR="00135D98">
        <w:t>ieverbrauch auf 8</w:t>
      </w:r>
      <w:r w:rsidR="00C239D3">
        <w:t>57</w:t>
      </w:r>
      <w:r w:rsidR="00135D98">
        <w:t xml:space="preserve"> bis 870 PJ (36 bis 37ige Reduktion)</w:t>
      </w:r>
      <w:r w:rsidR="00EC29A7">
        <w:t xml:space="preserve"> zurückgehen</w:t>
      </w:r>
      <w:r w:rsidR="00125B75">
        <w:t xml:space="preserve">. </w:t>
      </w:r>
      <w:r w:rsidR="00135D98">
        <w:t xml:space="preserve">Davon ausgehend, dass nach dem Ausnahmejahr 2020 der Endenergieverbrauch wieder an frühere Jahre anschließt, </w:t>
      </w:r>
      <w:r w:rsidR="00125B75">
        <w:t xml:space="preserve">muss somit der Endenergieverbrauch </w:t>
      </w:r>
      <w:r w:rsidR="00135D98">
        <w:t xml:space="preserve">in absoluten Zahlen um über 250 PJ bis 2030 reduziert werden (Vergleichsjahre: 2017 bis 2019). Die bisherigen Anstrengungen im Bereich Energieeffizienz haben zwar zu einer Stabilisierung des Endenergieverbrauchs geführt allerdings zu keiner Reduktion. </w:t>
      </w:r>
      <w:r w:rsidR="00096EA4">
        <w:t xml:space="preserve">Das neue Instrumentenportfolio im EEffG Neu ist somit von zentraler Rolle, wenn die ambitionierten </w:t>
      </w:r>
      <w:r w:rsidR="00512965">
        <w:t>2030</w:t>
      </w:r>
      <w:r w:rsidR="00096EA4">
        <w:t>iger</w:t>
      </w:r>
      <w:r w:rsidR="00512965">
        <w:t xml:space="preserve"> Ziele </w:t>
      </w:r>
      <w:r w:rsidR="00096EA4">
        <w:t>auch tatsächlich erreicht werden</w:t>
      </w:r>
      <w:bookmarkStart w:id="0" w:name="_GoBack"/>
      <w:bookmarkEnd w:id="0"/>
      <w:r w:rsidR="00EC29A7">
        <w:t xml:space="preserve"> und </w:t>
      </w:r>
      <w:r w:rsidR="00AA4EF8">
        <w:t>die Treibhausgase</w:t>
      </w:r>
      <w:r w:rsidR="00EF63C4">
        <w:t>missionen gesenkt werden sollen</w:t>
      </w:r>
      <w:r w:rsidR="00096EA4">
        <w:t xml:space="preserve">. </w:t>
      </w:r>
    </w:p>
    <w:p w:rsidR="002946B8" w:rsidRPr="00803917" w:rsidRDefault="002946B8" w:rsidP="00227125"/>
    <w:p w:rsidR="005E4D4F" w:rsidRPr="005E4D4F" w:rsidRDefault="005E4D4F" w:rsidP="00A156E4">
      <w:pPr>
        <w:pStyle w:val="Ueberschrift"/>
      </w:pPr>
      <w:bookmarkStart w:id="1" w:name="_Toc26086066"/>
      <w:bookmarkStart w:id="2" w:name="_Toc68418491"/>
      <w:r w:rsidRPr="005E4D4F">
        <w:t>Literatur</w:t>
      </w:r>
      <w:bookmarkEnd w:id="1"/>
      <w:bookmarkEnd w:id="2"/>
    </w:p>
    <w:p w:rsidR="00A2364E" w:rsidRDefault="00483B87" w:rsidP="006F6F56">
      <w:pPr>
        <w:pStyle w:val="Literatur"/>
        <w:ind w:left="426" w:hanging="426"/>
      </w:pPr>
      <w:r>
        <w:t>[1]</w:t>
      </w:r>
      <w:r>
        <w:tab/>
      </w:r>
      <w:r w:rsidR="00A2364E">
        <w:t>Nationaler Energieeffizienzaktionsplan der Republik Österreich 2017 gemäß Energieeffizienzrichtlinie 2012/27/EU, BMWFW, Wien, April 2017</w:t>
      </w:r>
    </w:p>
    <w:p w:rsidR="005E4D4F" w:rsidRDefault="00A2364E" w:rsidP="006F6F56">
      <w:pPr>
        <w:pStyle w:val="Literatur"/>
        <w:ind w:left="426" w:hanging="426"/>
      </w:pPr>
      <w:r>
        <w:t>[3]</w:t>
      </w:r>
      <w:r w:rsidR="006F6F56">
        <w:tab/>
      </w:r>
      <w:r>
        <w:t xml:space="preserve">Berichte in den Jahren 2017 </w:t>
      </w:r>
      <w:r w:rsidR="006F6F56">
        <w:t>bis 2020</w:t>
      </w:r>
      <w:r>
        <w:t xml:space="preserve"> über den Stand der</w:t>
      </w:r>
      <w:r w:rsidR="00EF63C4">
        <w:t xml:space="preserve"> Energieeffizienz in Österreich und der in Verbindung stehenden </w:t>
      </w:r>
      <w:r>
        <w:t>Umsetzung des Bundes-Energieeffizienzgesetzes (EEffG) in Österreich gemäß §</w:t>
      </w:r>
      <w:r w:rsidR="006F6F56">
        <w:t>7 und §</w:t>
      </w:r>
      <w:r>
        <w:t>30 EEffG, BM</w:t>
      </w:r>
      <w:r w:rsidR="006F6F56">
        <w:t xml:space="preserve">K </w:t>
      </w:r>
      <w:r>
        <w:t>und Monitoringstelle Energieeffizienz – Österreichische Energieagentur, Wien, 2017</w:t>
      </w:r>
      <w:r w:rsidR="006F6F56">
        <w:t xml:space="preserve">, 2018, 2019 und 2020 </w:t>
      </w:r>
      <w:r w:rsidR="00EF63C4">
        <w:t>(</w:t>
      </w:r>
      <w:hyperlink r:id="rId8" w:history="1">
        <w:r w:rsidR="00EF63C4" w:rsidRPr="006D35C5">
          <w:rPr>
            <w:rStyle w:val="Hyperlink"/>
          </w:rPr>
          <w:t>www.monitoringstelle.at</w:t>
        </w:r>
      </w:hyperlink>
      <w:r w:rsidR="00EF63C4">
        <w:t xml:space="preserve">) </w:t>
      </w:r>
    </w:p>
    <w:sectPr w:rsidR="005E4D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525" w:rsidRDefault="00662525">
      <w:r>
        <w:separator/>
      </w:r>
    </w:p>
  </w:endnote>
  <w:endnote w:type="continuationSeparator" w:id="0">
    <w:p w:rsidR="00662525" w:rsidRDefault="0066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525" w:rsidRDefault="00662525">
      <w:r>
        <w:separator/>
      </w:r>
    </w:p>
  </w:footnote>
  <w:footnote w:type="continuationSeparator" w:id="0">
    <w:p w:rsidR="00662525" w:rsidRDefault="00662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6A68"/>
    <w:multiLevelType w:val="hybridMultilevel"/>
    <w:tmpl w:val="E19CD01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CD5071F"/>
    <w:multiLevelType w:val="multilevel"/>
    <w:tmpl w:val="0978BA90"/>
    <w:numStyleLink w:val="Aufzhlung"/>
  </w:abstractNum>
  <w:abstractNum w:abstractNumId="2"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6D3B80"/>
    <w:multiLevelType w:val="hybridMultilevel"/>
    <w:tmpl w:val="ECC02A60"/>
    <w:lvl w:ilvl="0" w:tplc="3578AC00">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5D75967"/>
    <w:multiLevelType w:val="multilevel"/>
    <w:tmpl w:val="0978BA90"/>
    <w:numStyleLink w:val="Aufzhlung"/>
  </w:abstractNum>
  <w:abstractNum w:abstractNumId="5"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96EA4"/>
    <w:rsid w:val="00125B75"/>
    <w:rsid w:val="00135D98"/>
    <w:rsid w:val="001F3DA0"/>
    <w:rsid w:val="002014D3"/>
    <w:rsid w:val="00216554"/>
    <w:rsid w:val="00227125"/>
    <w:rsid w:val="00262FD5"/>
    <w:rsid w:val="002946B8"/>
    <w:rsid w:val="00350F98"/>
    <w:rsid w:val="00372E07"/>
    <w:rsid w:val="003B676F"/>
    <w:rsid w:val="003C28FE"/>
    <w:rsid w:val="00483B87"/>
    <w:rsid w:val="004B42F7"/>
    <w:rsid w:val="004E6623"/>
    <w:rsid w:val="00512965"/>
    <w:rsid w:val="00555D17"/>
    <w:rsid w:val="005B1ADB"/>
    <w:rsid w:val="005E4D4F"/>
    <w:rsid w:val="00662525"/>
    <w:rsid w:val="00665620"/>
    <w:rsid w:val="006F6F56"/>
    <w:rsid w:val="007378C8"/>
    <w:rsid w:val="00741EC0"/>
    <w:rsid w:val="007867E5"/>
    <w:rsid w:val="00803917"/>
    <w:rsid w:val="00835C5C"/>
    <w:rsid w:val="008E572A"/>
    <w:rsid w:val="009A639A"/>
    <w:rsid w:val="00A07737"/>
    <w:rsid w:val="00A156E4"/>
    <w:rsid w:val="00A2364E"/>
    <w:rsid w:val="00A6148D"/>
    <w:rsid w:val="00A7444A"/>
    <w:rsid w:val="00AA4EF8"/>
    <w:rsid w:val="00B13177"/>
    <w:rsid w:val="00B44090"/>
    <w:rsid w:val="00B84047"/>
    <w:rsid w:val="00BF05FA"/>
    <w:rsid w:val="00C239D3"/>
    <w:rsid w:val="00CE1A70"/>
    <w:rsid w:val="00D53E86"/>
    <w:rsid w:val="00D736F8"/>
    <w:rsid w:val="00DD6839"/>
    <w:rsid w:val="00DF751C"/>
    <w:rsid w:val="00E33790"/>
    <w:rsid w:val="00E520E6"/>
    <w:rsid w:val="00E83CF5"/>
    <w:rsid w:val="00E85C92"/>
    <w:rsid w:val="00EC29A7"/>
    <w:rsid w:val="00EF63C4"/>
    <w:rsid w:val="00F375D2"/>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E7AD1"/>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paragraph" w:styleId="Listenabsatz">
    <w:name w:val="List Paragraph"/>
    <w:basedOn w:val="Standard"/>
    <w:uiPriority w:val="34"/>
    <w:qFormat/>
    <w:rsid w:val="00216554"/>
    <w:pPr>
      <w:ind w:left="720"/>
      <w:contextualSpacing/>
    </w:pPr>
  </w:style>
  <w:style w:type="paragraph" w:styleId="Sprechblasentext">
    <w:name w:val="Balloon Text"/>
    <w:basedOn w:val="Standard"/>
    <w:link w:val="SprechblasentextZchn"/>
    <w:uiPriority w:val="99"/>
    <w:semiHidden/>
    <w:unhideWhenUsed/>
    <w:rsid w:val="00835C5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35C5C"/>
    <w:rPr>
      <w:rFonts w:ascii="Segoe UI" w:hAnsi="Segoe UI" w:cs="Segoe UI"/>
      <w:sz w:val="18"/>
      <w:szCs w:val="18"/>
      <w:lang w:eastAsia="ko-KR"/>
    </w:rPr>
  </w:style>
  <w:style w:type="character" w:styleId="Hyperlink">
    <w:name w:val="Hyperlink"/>
    <w:basedOn w:val="Absatz-Standardschriftart"/>
    <w:uiPriority w:val="99"/>
    <w:unhideWhenUsed/>
    <w:rsid w:val="00EF63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5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itoringstelle.a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5430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Simader Günter</cp:lastModifiedBy>
  <cp:revision>3</cp:revision>
  <cp:lastPrinted>2021-06-28T14:43:00Z</cp:lastPrinted>
  <dcterms:created xsi:type="dcterms:W3CDTF">2021-06-28T15:11:00Z</dcterms:created>
  <dcterms:modified xsi:type="dcterms:W3CDTF">2021-06-28T15:12:00Z</dcterms:modified>
</cp:coreProperties>
</file>