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D4F" w:rsidRPr="005E4D4F" w:rsidRDefault="001E2AF1" w:rsidP="005E4D4F">
      <w:pPr>
        <w:pStyle w:val="Abstract-Titel"/>
      </w:pPr>
      <w:r>
        <w:t xml:space="preserve">Modellierung von Smart </w:t>
      </w:r>
      <w:proofErr w:type="spellStart"/>
      <w:r>
        <w:t>Markets</w:t>
      </w:r>
      <w:proofErr w:type="spellEnd"/>
      <w:r>
        <w:t xml:space="preserve"> zur </w:t>
      </w:r>
      <w:r w:rsidR="00AE5BF6">
        <w:t>Lösung von Engpässen</w:t>
      </w:r>
      <w:r>
        <w:t xml:space="preserve"> im Deutschen Übertragungsnetz</w:t>
      </w:r>
    </w:p>
    <w:p w:rsidR="00BF05FA" w:rsidRDefault="00077343" w:rsidP="00A156E4">
      <w:pPr>
        <w:pStyle w:val="AutorenOrganisation"/>
      </w:pPr>
      <w:r>
        <w:t>Integrierte Netze der Zukunft</w:t>
      </w:r>
    </w:p>
    <w:p w:rsidR="00077343" w:rsidRPr="00010E92" w:rsidRDefault="00077343" w:rsidP="00077343">
      <w:pPr>
        <w:pStyle w:val="AutorenOrganisation"/>
        <w:rPr>
          <w:vertAlign w:val="superscript"/>
        </w:rPr>
      </w:pPr>
      <w:r w:rsidRPr="00936248">
        <w:rPr>
          <w:u w:val="single"/>
        </w:rPr>
        <w:t>Lukas Maximilian</w:t>
      </w:r>
      <w:r w:rsidR="005E4D4F" w:rsidRPr="00936248">
        <w:rPr>
          <w:u w:val="single"/>
        </w:rPr>
        <w:t xml:space="preserve"> </w:t>
      </w:r>
      <w:r w:rsidRPr="00936248">
        <w:rPr>
          <w:u w:val="single"/>
        </w:rPr>
        <w:t>LANG</w:t>
      </w:r>
      <w:r w:rsidR="005E4D4F" w:rsidRPr="00010E92">
        <w:rPr>
          <w:vertAlign w:val="superscript"/>
        </w:rPr>
        <w:footnoteReference w:id="1"/>
      </w:r>
      <w:r w:rsidR="00A156E4" w:rsidRPr="00A156E4">
        <w:rPr>
          <w:vertAlign w:val="superscript"/>
        </w:rPr>
        <w:t>(1</w:t>
      </w:r>
      <w:r w:rsidR="00A156E4">
        <w:rPr>
          <w:vertAlign w:val="superscript"/>
        </w:rPr>
        <w:t>)</w:t>
      </w:r>
      <w:r w:rsidR="005E4D4F" w:rsidRPr="005E4D4F">
        <w:t xml:space="preserve">, </w:t>
      </w:r>
      <w:r>
        <w:t>Jonas</w:t>
      </w:r>
      <w:r w:rsidR="00010E92" w:rsidRPr="005E4D4F">
        <w:t xml:space="preserve"> </w:t>
      </w:r>
      <w:r>
        <w:t>EGERER</w:t>
      </w:r>
      <w:r w:rsidRPr="00077343">
        <w:rPr>
          <w:vertAlign w:val="superscript"/>
        </w:rPr>
        <w:t>(1)</w:t>
      </w:r>
      <w:r>
        <w:t>, Veronika GRIMM</w:t>
      </w:r>
      <w:r w:rsidRPr="00077343">
        <w:rPr>
          <w:vertAlign w:val="superscript"/>
        </w:rPr>
        <w:t>(1)</w:t>
      </w:r>
      <w:r>
        <w:t>, Ulrike PFEFFERER</w:t>
      </w:r>
      <w:r w:rsidRPr="00077343">
        <w:rPr>
          <w:vertAlign w:val="superscript"/>
        </w:rPr>
        <w:t>(1)</w:t>
      </w:r>
    </w:p>
    <w:p w:rsidR="005E4D4F" w:rsidRDefault="00077343" w:rsidP="005E4D4F">
      <w:pPr>
        <w:pStyle w:val="AutorenOrganisation"/>
      </w:pPr>
      <w:r>
        <w:rPr>
          <w:vertAlign w:val="superscript"/>
        </w:rPr>
        <w:t>(1)</w:t>
      </w:r>
      <w:r>
        <w:t xml:space="preserve"> Friedrich-Alexander-Universität Erlangen-Nürnberg</w:t>
      </w:r>
    </w:p>
    <w:p w:rsidR="00A07737" w:rsidRPr="005E4D4F" w:rsidRDefault="00A07737" w:rsidP="00FB69AE">
      <w:pPr>
        <w:rPr>
          <w:lang w:val="de-AT"/>
        </w:rPr>
      </w:pPr>
    </w:p>
    <w:p w:rsidR="005E4D4F" w:rsidRPr="005E4D4F" w:rsidRDefault="005E4D4F" w:rsidP="005E4D4F">
      <w:pPr>
        <w:pStyle w:val="Ueberschrift"/>
      </w:pPr>
      <w:r w:rsidRPr="005E4D4F">
        <w:t>Motivation und zentrale Fragestellung</w:t>
      </w:r>
    </w:p>
    <w:p w:rsidR="00805376" w:rsidRDefault="002C2F1D" w:rsidP="00227125">
      <w:r>
        <w:t>Die Europäische Vorgabe zum Engpassmanagement sieht eine marktbasierte Lösung für alle Mitgliedsstaaten vor</w:t>
      </w:r>
      <w:r w:rsidR="00AE5BF6">
        <w:t xml:space="preserve"> (Artikel 13 </w:t>
      </w:r>
      <w:proofErr w:type="spellStart"/>
      <w:r w:rsidR="00AE5BF6">
        <w:t>Abs</w:t>
      </w:r>
      <w:proofErr w:type="spellEnd"/>
      <w:r w:rsidR="00AE5BF6">
        <w:t xml:space="preserve"> 1 &amp; 2 EBM-VO)</w:t>
      </w:r>
      <w:r>
        <w:t xml:space="preserve">. Die vollständige Umsetzung des marktbasierten </w:t>
      </w:r>
      <w:proofErr w:type="spellStart"/>
      <w:r>
        <w:t>Redispatch</w:t>
      </w:r>
      <w:proofErr w:type="spellEnd"/>
      <w:r>
        <w:t xml:space="preserve"> wird allerdings aufgrund des Risikos von strategischem Gebotsverhalten („</w:t>
      </w:r>
      <w:proofErr w:type="spellStart"/>
      <w:r>
        <w:t>Inc</w:t>
      </w:r>
      <w:proofErr w:type="spellEnd"/>
      <w:r>
        <w:t>-</w:t>
      </w:r>
      <w:proofErr w:type="spellStart"/>
      <w:r>
        <w:t>Dec</w:t>
      </w:r>
      <w:proofErr w:type="spellEnd"/>
      <w:r>
        <w:t>-Gaming“) bisher verhindert</w:t>
      </w:r>
      <w:r w:rsidR="00AE5BF6">
        <w:t xml:space="preserve"> </w:t>
      </w:r>
      <w:sdt>
        <w:sdtPr>
          <w:id w:val="-703174713"/>
          <w:citation/>
        </w:sdtPr>
        <w:sdtEndPr/>
        <w:sdtContent>
          <w:r w:rsidR="00AE5BF6">
            <w:fldChar w:fldCharType="begin"/>
          </w:r>
          <w:r w:rsidR="00AE5BF6">
            <w:instrText xml:space="preserve"> CITATION Hir20 \l 1031 </w:instrText>
          </w:r>
          <w:r w:rsidR="00AE5BF6">
            <w:fldChar w:fldCharType="separate"/>
          </w:r>
          <w:r w:rsidR="00885C29">
            <w:rPr>
              <w:noProof/>
            </w:rPr>
            <w:t>[1]</w:t>
          </w:r>
          <w:r w:rsidR="00AE5BF6">
            <w:fldChar w:fldCharType="end"/>
          </w:r>
        </w:sdtContent>
      </w:sdt>
      <w:r>
        <w:t xml:space="preserve">. Dennoch kann es vorteilhaft </w:t>
      </w:r>
      <w:r w:rsidR="00D310DA">
        <w:t>s</w:t>
      </w:r>
      <w:r>
        <w:t xml:space="preserve">ein, marktbasierte Elemente in das bestehende regulatorische System </w:t>
      </w:r>
      <w:r w:rsidR="00BB0D01">
        <w:t>zu integrieren</w:t>
      </w:r>
      <w:r>
        <w:t xml:space="preserve">. Eine </w:t>
      </w:r>
      <w:r w:rsidR="00BB0D01">
        <w:t xml:space="preserve">mögliche </w:t>
      </w:r>
      <w:r>
        <w:t xml:space="preserve">innovative Lösung sind sog. Smart </w:t>
      </w:r>
      <w:proofErr w:type="spellStart"/>
      <w:r>
        <w:t>Markets</w:t>
      </w:r>
      <w:proofErr w:type="spellEnd"/>
      <w:r w:rsidR="00443D80">
        <w:t xml:space="preserve"> </w:t>
      </w:r>
      <w:sdt>
        <w:sdtPr>
          <w:id w:val="1533064938"/>
          <w:citation/>
        </w:sdtPr>
        <w:sdtEndPr/>
        <w:sdtContent>
          <w:r w:rsidR="00AE5BF6">
            <w:fldChar w:fldCharType="begin"/>
          </w:r>
          <w:r w:rsidR="00AE5BF6">
            <w:instrText xml:space="preserve"> CITATION Eco17 \l 1031 </w:instrText>
          </w:r>
          <w:r w:rsidR="00AE5BF6">
            <w:fldChar w:fldCharType="separate"/>
          </w:r>
          <w:r w:rsidR="00885C29">
            <w:rPr>
              <w:noProof/>
            </w:rPr>
            <w:t>[2]</w:t>
          </w:r>
          <w:r w:rsidR="00AE5BF6">
            <w:fldChar w:fldCharType="end"/>
          </w:r>
        </w:sdtContent>
      </w:sdt>
      <w:r w:rsidR="00AE5BF6">
        <w:t xml:space="preserve">. </w:t>
      </w:r>
      <w:r>
        <w:t xml:space="preserve">Diese zeitlich und regional begrenzten Märkte </w:t>
      </w:r>
      <w:r w:rsidR="00A5729A">
        <w:t xml:space="preserve">können </w:t>
      </w:r>
      <w:r w:rsidR="00D310DA">
        <w:t xml:space="preserve">ohne eine festgeschriebene Leistungsgrenze </w:t>
      </w:r>
      <w:r w:rsidR="00A5729A">
        <w:t>lokale, dezentrale Flexibilitätspotentiale</w:t>
      </w:r>
      <w:r w:rsidR="002646C1">
        <w:t xml:space="preserve"> verschiedenster Art</w:t>
      </w:r>
      <w:r w:rsidR="00A5729A">
        <w:t xml:space="preserve"> nutzen, um Engpässe im Übertragungsnetz zu reduzieren oder zu lösen. Als Rückfalloption kann der regulative </w:t>
      </w:r>
      <w:proofErr w:type="spellStart"/>
      <w:r w:rsidR="00A5729A">
        <w:t>Redispatch</w:t>
      </w:r>
      <w:proofErr w:type="spellEnd"/>
      <w:r w:rsidR="00A5729A">
        <w:t xml:space="preserve"> bestehen bleiben</w:t>
      </w:r>
      <w:r w:rsidR="00D310DA">
        <w:t xml:space="preserve">, wobei dessen Durchschnittskosten als Kostenreferenz zur Sicherstellung von Effizienzsteigerungen genutzt werden können. </w:t>
      </w:r>
    </w:p>
    <w:p w:rsidR="005E4D4F" w:rsidRPr="005E4D4F" w:rsidRDefault="005E4D4F" w:rsidP="005E4D4F">
      <w:pPr>
        <w:pStyle w:val="Ueberschrift"/>
      </w:pPr>
      <w:r w:rsidRPr="005E4D4F">
        <w:t>Methodische Vorgangsweise</w:t>
      </w:r>
    </w:p>
    <w:p w:rsidR="005E4D4F" w:rsidRDefault="00936248" w:rsidP="00227125">
      <w:r>
        <w:t xml:space="preserve">Ein mehrstufiges Strommarktmodell wird zur Analyse der kurz- und mittelfristigen Perspektive der Einbindung von Smart </w:t>
      </w:r>
      <w:proofErr w:type="spellStart"/>
      <w:r>
        <w:t>Markets</w:t>
      </w:r>
      <w:proofErr w:type="spellEnd"/>
      <w:r>
        <w:t xml:space="preserve"> zur Reduzierung von Engpassmanagement verwendet. </w:t>
      </w:r>
      <w:r w:rsidR="00E00C16">
        <w:t xml:space="preserve">Dazu wird ein bestehendes dreistufiges Strommarktmodell </w:t>
      </w:r>
      <w:sdt>
        <w:sdtPr>
          <w:id w:val="900330975"/>
          <w:citation/>
        </w:sdtPr>
        <w:sdtEndPr/>
        <w:sdtContent>
          <w:r w:rsidR="00AE5BF6">
            <w:fldChar w:fldCharType="begin"/>
          </w:r>
          <w:r w:rsidR="00AE5BF6">
            <w:instrText xml:space="preserve"> CITATION Gri16 \l 1031 </w:instrText>
          </w:r>
          <w:r w:rsidR="00AE5BF6">
            <w:fldChar w:fldCharType="separate"/>
          </w:r>
          <w:r w:rsidR="00885C29">
            <w:rPr>
              <w:noProof/>
            </w:rPr>
            <w:t>[3]</w:t>
          </w:r>
          <w:r w:rsidR="00AE5BF6">
            <w:fldChar w:fldCharType="end"/>
          </w:r>
        </w:sdtContent>
      </w:sdt>
      <w:r w:rsidR="00AE5BF6">
        <w:t xml:space="preserve"> </w:t>
      </w:r>
      <w:sdt>
        <w:sdtPr>
          <w:id w:val="-1185899817"/>
          <w:citation/>
        </w:sdtPr>
        <w:sdtEndPr/>
        <w:sdtContent>
          <w:r w:rsidR="00AE5BF6">
            <w:fldChar w:fldCharType="begin"/>
          </w:r>
          <w:r w:rsidR="00AE5BF6">
            <w:instrText xml:space="preserve"> CITATION Gri20 \l 1031 </w:instrText>
          </w:r>
          <w:r w:rsidR="00AE5BF6">
            <w:fldChar w:fldCharType="separate"/>
          </w:r>
          <w:r w:rsidR="00885C29">
            <w:rPr>
              <w:noProof/>
            </w:rPr>
            <w:t>[4]</w:t>
          </w:r>
          <w:r w:rsidR="00AE5BF6">
            <w:fldChar w:fldCharType="end"/>
          </w:r>
        </w:sdtContent>
      </w:sdt>
      <w:r w:rsidR="00AE5BF6">
        <w:t xml:space="preserve"> </w:t>
      </w:r>
      <w:sdt>
        <w:sdtPr>
          <w:id w:val="-2063161919"/>
          <w:citation/>
        </w:sdtPr>
        <w:sdtEndPr/>
        <w:sdtContent>
          <w:r w:rsidR="00885C29">
            <w:fldChar w:fldCharType="begin"/>
          </w:r>
          <w:r w:rsidR="00885C29">
            <w:instrText xml:space="preserve"> CITATION Amb19 \l 1031 </w:instrText>
          </w:r>
          <w:r w:rsidR="00885C29">
            <w:fldChar w:fldCharType="separate"/>
          </w:r>
          <w:r w:rsidR="00885C29">
            <w:rPr>
              <w:noProof/>
            </w:rPr>
            <w:t>[5]</w:t>
          </w:r>
          <w:r w:rsidR="00885C29">
            <w:fldChar w:fldCharType="end"/>
          </w:r>
        </w:sdtContent>
      </w:sdt>
      <w:r w:rsidR="00885C29">
        <w:t xml:space="preserve"> </w:t>
      </w:r>
      <w:r w:rsidR="00E00C16">
        <w:t xml:space="preserve">um die Stufe der Smart </w:t>
      </w:r>
      <w:proofErr w:type="spellStart"/>
      <w:r w:rsidR="00E00C16">
        <w:t>Markets</w:t>
      </w:r>
      <w:proofErr w:type="spellEnd"/>
      <w:r w:rsidR="00E00C16">
        <w:t xml:space="preserve"> zur Einbindung regionaler </w:t>
      </w:r>
      <w:proofErr w:type="spellStart"/>
      <w:r w:rsidR="00E00C16">
        <w:t>Flexibilitäten</w:t>
      </w:r>
      <w:proofErr w:type="spellEnd"/>
      <w:r w:rsidR="00E00C16">
        <w:t xml:space="preserve"> ergänzt</w:t>
      </w:r>
      <w:r w:rsidR="00EC6C9D">
        <w:t>:</w:t>
      </w:r>
    </w:p>
    <w:p w:rsidR="00936248" w:rsidRDefault="00EC6C9D" w:rsidP="00936248">
      <w:pPr>
        <w:pStyle w:val="Listenabsatz"/>
        <w:numPr>
          <w:ilvl w:val="0"/>
          <w:numId w:val="5"/>
        </w:numPr>
      </w:pPr>
      <w:r>
        <w:t>Ein zentraler Netzbetreiber plant Investitionen in das Übertragungsnetz. Dabei werden der Handel auf dem Spot Markt für Elektrizität, sowie der finale Engpass</w:t>
      </w:r>
      <w:r w:rsidR="002646C1">
        <w:t>management</w:t>
      </w:r>
      <w:r>
        <w:t>bedarf antizipiert.</w:t>
      </w:r>
    </w:p>
    <w:p w:rsidR="00EC6C9D" w:rsidRDefault="002646C1" w:rsidP="00936248">
      <w:pPr>
        <w:pStyle w:val="Listenabsatz"/>
        <w:numPr>
          <w:ilvl w:val="0"/>
          <w:numId w:val="5"/>
        </w:numPr>
      </w:pPr>
      <w:r>
        <w:t>Unabhängige Erzeuger agieren auf dem Spot Markt für Elektrizität und entscheiden über kurzfristige Stromerzeugung sowie mittelfristige Investitionen in Erzeugungskapazität. Perfekte Voraussicht sowie perfekter Wettbewerb sind angenommen.</w:t>
      </w:r>
    </w:p>
    <w:p w:rsidR="002646C1" w:rsidRDefault="002646C1" w:rsidP="00936248">
      <w:pPr>
        <w:pStyle w:val="Listenabsatz"/>
        <w:numPr>
          <w:ilvl w:val="0"/>
          <w:numId w:val="5"/>
        </w:numPr>
      </w:pPr>
      <w:r>
        <w:t xml:space="preserve">Dezentrale </w:t>
      </w:r>
      <w:proofErr w:type="spellStart"/>
      <w:r>
        <w:t>Flexibilitäten</w:t>
      </w:r>
      <w:proofErr w:type="spellEnd"/>
      <w:r>
        <w:t xml:space="preserve"> </w:t>
      </w:r>
      <w:r w:rsidR="00E00C16">
        <w:t xml:space="preserve">nehmen auf Smart </w:t>
      </w:r>
      <w:proofErr w:type="spellStart"/>
      <w:r w:rsidR="00E00C16">
        <w:t>Markets</w:t>
      </w:r>
      <w:proofErr w:type="spellEnd"/>
      <w:r w:rsidR="00E00C16">
        <w:t xml:space="preserve"> teil,</w:t>
      </w:r>
      <w:r>
        <w:t xml:space="preserve"> um Engpässe, die sich aus dem Marktergebnis bestimmen, zu lösen. </w:t>
      </w:r>
      <w:r w:rsidR="00E00C16">
        <w:t xml:space="preserve">Dabei wird eine Prognose des </w:t>
      </w:r>
      <w:proofErr w:type="spellStart"/>
      <w:r w:rsidR="00E00C16">
        <w:t>Redispatchbedarfs</w:t>
      </w:r>
      <w:proofErr w:type="spellEnd"/>
      <w:r w:rsidR="00E00C16">
        <w:t xml:space="preserve"> verwendet, um die potentiell gehandelten Mengen sowie die Kostenreferenz zu bestimmen.</w:t>
      </w:r>
    </w:p>
    <w:p w:rsidR="00E00C16" w:rsidRDefault="00E00C16" w:rsidP="00936248">
      <w:pPr>
        <w:pStyle w:val="Listenabsatz"/>
        <w:numPr>
          <w:ilvl w:val="0"/>
          <w:numId w:val="5"/>
        </w:numPr>
      </w:pPr>
      <w:r>
        <w:t xml:space="preserve">Falls Engpässe über die Smart </w:t>
      </w:r>
      <w:proofErr w:type="spellStart"/>
      <w:r>
        <w:t>Markets</w:t>
      </w:r>
      <w:proofErr w:type="spellEnd"/>
      <w:r>
        <w:t xml:space="preserve"> nicht vollständig gelöst werden können, wird kostenbasierter, regulatorischer </w:t>
      </w:r>
      <w:proofErr w:type="spellStart"/>
      <w:r>
        <w:t>Redispatch</w:t>
      </w:r>
      <w:proofErr w:type="spellEnd"/>
      <w:r>
        <w:t xml:space="preserve"> zur Lösung herangezogen.</w:t>
      </w:r>
    </w:p>
    <w:p w:rsidR="00443396" w:rsidRDefault="00443396" w:rsidP="00E00C16">
      <w:r>
        <w:t>Das mehrstufige Modell kann durch die Kombination der ersten und dritten Stufe in eine dreistufige Modellformulie</w:t>
      </w:r>
      <w:r w:rsidR="00885C29">
        <w:t xml:space="preserve">rung umgeformt werden </w:t>
      </w:r>
      <w:sdt>
        <w:sdtPr>
          <w:id w:val="814992570"/>
          <w:citation/>
        </w:sdtPr>
        <w:sdtEndPr/>
        <w:sdtContent>
          <w:r w:rsidR="00885C29">
            <w:fldChar w:fldCharType="begin"/>
          </w:r>
          <w:r w:rsidR="00885C29">
            <w:instrText xml:space="preserve"> CITATION Gri16 \l 1031 </w:instrText>
          </w:r>
          <w:r w:rsidR="00885C29">
            <w:fldChar w:fldCharType="separate"/>
          </w:r>
          <w:r w:rsidR="00885C29">
            <w:rPr>
              <w:noProof/>
            </w:rPr>
            <w:t>[3]</w:t>
          </w:r>
          <w:r w:rsidR="00885C29">
            <w:fldChar w:fldCharType="end"/>
          </w:r>
        </w:sdtContent>
      </w:sdt>
      <w:r>
        <w:t xml:space="preserve">. Die resultierenden Optimierungsprobleme sind in GAMS entweder als lineares oder als gemischt-ganzzahliges Optimierungsproblem implementiert. </w:t>
      </w:r>
    </w:p>
    <w:p w:rsidR="00443396" w:rsidRDefault="00443396" w:rsidP="00E00C16"/>
    <w:p w:rsidR="00E00C16" w:rsidRDefault="00E00C16" w:rsidP="00E00C16">
      <w:r>
        <w:t xml:space="preserve">Als Datengrundlage wird das deutsche Übertragungsnetz in einer aggregierten Version genutzt. Die Erzeugungsstruktur auf dem Spot Markt ist durch die Kraftwerksliste Deutschlands gegeben. Hinzu kommen </w:t>
      </w:r>
      <w:proofErr w:type="spellStart"/>
      <w:r>
        <w:t>Flexibilitäten</w:t>
      </w:r>
      <w:proofErr w:type="spellEnd"/>
      <w:r>
        <w:t xml:space="preserve"> wie Optionen zur Sektorenkopplung oder Nachfrageflexibilisierung. </w:t>
      </w:r>
    </w:p>
    <w:p w:rsidR="005E4D4F" w:rsidRPr="005E4D4F" w:rsidRDefault="005E4D4F" w:rsidP="00227125"/>
    <w:p w:rsidR="005E4D4F" w:rsidRPr="005E4D4F" w:rsidRDefault="005E4D4F" w:rsidP="005E4D4F">
      <w:pPr>
        <w:pStyle w:val="Ueberschrift"/>
      </w:pPr>
      <w:r w:rsidRPr="005E4D4F">
        <w:t>Ergebnisse und Schlussfolgerungen</w:t>
      </w:r>
    </w:p>
    <w:p w:rsidR="005D4C85" w:rsidRDefault="005D4C85" w:rsidP="005D4C85">
      <w:r>
        <w:t xml:space="preserve">In einer Anwendung auf das deutsche Übertragungsnetz sollen die Vorteile einer Einbindung von Smart </w:t>
      </w:r>
      <w:proofErr w:type="spellStart"/>
      <w:r>
        <w:t>Markets</w:t>
      </w:r>
      <w:proofErr w:type="spellEnd"/>
      <w:r>
        <w:t xml:space="preserve"> im Vergleich zum regulatorischen </w:t>
      </w:r>
      <w:proofErr w:type="spellStart"/>
      <w:r>
        <w:t>Redispatch</w:t>
      </w:r>
      <w:proofErr w:type="spellEnd"/>
      <w:r>
        <w:t xml:space="preserve"> hinsichtlich der kurzfristigen und mittelfristigen Perspektive quantifiziert werden. Kurzfristig wird dazu die Kosteneffizienz betrachtet, die sich durch die Einsparung von </w:t>
      </w:r>
      <w:proofErr w:type="spellStart"/>
      <w:r>
        <w:t>Redispatchkosten</w:t>
      </w:r>
      <w:proofErr w:type="spellEnd"/>
      <w:r>
        <w:t xml:space="preserve"> ergibt. Mittelfristig werden Investitionsanreize in Erzeugungs- und Übertragungskapazität analysiert. Als Vergleichsergebnisse sind die Referenzlösungen aus dem Status-quo des deutschen Strommarktes betrachtet, d.h. Kosten aus dem regulatorischen </w:t>
      </w:r>
      <w:proofErr w:type="spellStart"/>
      <w:r>
        <w:t>Redispatch</w:t>
      </w:r>
      <w:proofErr w:type="spellEnd"/>
      <w:r>
        <w:t xml:space="preserve">, sowie Investitionsanreize, die sich daraus ergeben. </w:t>
      </w:r>
    </w:p>
    <w:p w:rsidR="005D4C85" w:rsidRDefault="005D4C85" w:rsidP="005D4C85">
      <w:r>
        <w:lastRenderedPageBreak/>
        <w:t xml:space="preserve">Die Ergebnisse aus der Modellierung zeigen, dass sich die Einbindung von Smart </w:t>
      </w:r>
      <w:proofErr w:type="spellStart"/>
      <w:r>
        <w:t>Markets</w:t>
      </w:r>
      <w:proofErr w:type="spellEnd"/>
      <w:r>
        <w:t xml:space="preserve"> sowohl in</w:t>
      </w:r>
      <w:r w:rsidR="00BB0D01">
        <w:t xml:space="preserve"> der kurzfristigen als auch mittel</w:t>
      </w:r>
      <w:r>
        <w:t xml:space="preserve">fristigen Perspektive auswirkt. Kurzfristig können </w:t>
      </w:r>
      <w:proofErr w:type="spellStart"/>
      <w:r>
        <w:t>Redispatchkosten</w:t>
      </w:r>
      <w:proofErr w:type="spellEnd"/>
      <w:r>
        <w:t xml:space="preserve"> gesenkt werden. L</w:t>
      </w:r>
      <w:r w:rsidR="00BB0D01">
        <w:t xml:space="preserve">okale </w:t>
      </w:r>
      <w:proofErr w:type="spellStart"/>
      <w:r w:rsidR="00BB0D01">
        <w:t>Flexibilitäten</w:t>
      </w:r>
      <w:proofErr w:type="spellEnd"/>
      <w:r w:rsidR="00BB0D01">
        <w:t xml:space="preserve"> erhalten </w:t>
      </w:r>
      <w:r>
        <w:t>durch</w:t>
      </w:r>
      <w:r w:rsidR="00BB0D01">
        <w:t xml:space="preserve"> deren Teilnahme am Smart Market</w:t>
      </w:r>
      <w:r>
        <w:t xml:space="preserve"> eine neue Möglichkeit ihr Geschäftsmodell zu erweitern. Dadurch können perspektivisch Investitionen in dezentrale </w:t>
      </w:r>
      <w:proofErr w:type="spellStart"/>
      <w:r>
        <w:t>Flexibilitäten</w:t>
      </w:r>
      <w:proofErr w:type="spellEnd"/>
      <w:r>
        <w:t xml:space="preserve"> ang</w:t>
      </w:r>
      <w:r w:rsidR="00BB0D01">
        <w:t>ereizt werden. Mittel</w:t>
      </w:r>
      <w:bookmarkStart w:id="0" w:name="_GoBack"/>
      <w:bookmarkEnd w:id="0"/>
      <w:r w:rsidR="00BB0D01">
        <w:t>fristig wirkt</w:t>
      </w:r>
      <w:r>
        <w:t xml:space="preserve"> sich die </w:t>
      </w:r>
      <w:r w:rsidR="00BB0D01">
        <w:t>Kostensenkung im En</w:t>
      </w:r>
      <w:r>
        <w:t>gpassmanagement auf die Investitionen in Übertragungsleitungen aus</w:t>
      </w:r>
      <w:r w:rsidR="00BB0D01">
        <w:t>, wodurch wiederum</w:t>
      </w:r>
      <w:r w:rsidR="00443D80">
        <w:t xml:space="preserve"> die hohen Kosten zum Netzausbau potentiell gesenkt werden.</w:t>
      </w:r>
    </w:p>
    <w:p w:rsidR="00443D80" w:rsidRPr="005E4D4F" w:rsidRDefault="00443D80" w:rsidP="005D4C85">
      <w:r>
        <w:t xml:space="preserve">Die Modellergebnisse zeigen, dass die Einbindung von regional und zeitlich begrenzten Flexibilitätsmärkten in das Engpassmanagement vorteilhaft sein kann. Als Grundlage dazu ist der vorherrschende kostenbasierte </w:t>
      </w:r>
      <w:proofErr w:type="spellStart"/>
      <w:r>
        <w:t>Redispatch</w:t>
      </w:r>
      <w:proofErr w:type="spellEnd"/>
      <w:r>
        <w:t xml:space="preserve"> als Ergebnis eines Zonenpreises zu sehen, der somit um ein marktbasiertes Element erweitert werden kann. Langfristig ist diese Erweiterung allerdings im größeren Zusammenhang der Engpassproblematik durch den Ausbau erneuerbarer Energien zu sehen. So könnte eine Preiszonentrennung </w:t>
      </w:r>
      <w:sdt>
        <w:sdtPr>
          <w:id w:val="-1575435612"/>
          <w:citation/>
        </w:sdtPr>
        <w:sdtEndPr/>
        <w:sdtContent>
          <w:r w:rsidR="00885C29">
            <w:fldChar w:fldCharType="begin"/>
          </w:r>
          <w:r w:rsidR="00885C29">
            <w:instrText xml:space="preserve"> CITATION Ege161 \l 1031 </w:instrText>
          </w:r>
          <w:r w:rsidR="00885C29">
            <w:fldChar w:fldCharType="separate"/>
          </w:r>
          <w:r w:rsidR="00885C29">
            <w:rPr>
              <w:noProof/>
            </w:rPr>
            <w:t>[6]</w:t>
          </w:r>
          <w:r w:rsidR="00885C29">
            <w:fldChar w:fldCharType="end"/>
          </w:r>
        </w:sdtContent>
      </w:sdt>
      <w:r w:rsidR="00885C29">
        <w:t xml:space="preserve"> </w:t>
      </w:r>
      <w:r>
        <w:t>weitere Kosten senken und effizientere Marktergebnisse bereitstellen.</w:t>
      </w:r>
    </w:p>
    <w:p w:rsidR="00AE5BF6" w:rsidRDefault="00AE5BF6" w:rsidP="00885C29">
      <w:pPr>
        <w:pStyle w:val="Literatur"/>
        <w:ind w:left="0" w:firstLine="0"/>
      </w:pPr>
    </w:p>
    <w:sdt>
      <w:sdtPr>
        <w:rPr>
          <w:rFonts w:ascii="Arial" w:eastAsia="Times New Roman" w:hAnsi="Arial" w:cs="Times New Roman"/>
          <w:color w:val="auto"/>
          <w:sz w:val="20"/>
          <w:szCs w:val="24"/>
          <w:lang w:eastAsia="ko-KR"/>
        </w:rPr>
        <w:id w:val="-564881000"/>
        <w:docPartObj>
          <w:docPartGallery w:val="Bibliographies"/>
          <w:docPartUnique/>
        </w:docPartObj>
      </w:sdtPr>
      <w:sdtEndPr/>
      <w:sdtContent>
        <w:p w:rsidR="00AE5BF6" w:rsidRPr="00885C29" w:rsidRDefault="00885C29">
          <w:pPr>
            <w:pStyle w:val="berschrift1"/>
            <w:rPr>
              <w:rFonts w:ascii="Arial" w:eastAsia="Times New Roman" w:hAnsi="Arial" w:cs="Times New Roman"/>
              <w:b/>
              <w:color w:val="auto"/>
              <w:spacing w:val="-5"/>
              <w:sz w:val="22"/>
              <w:szCs w:val="24"/>
            </w:rPr>
          </w:pPr>
          <w:r>
            <w:rPr>
              <w:rFonts w:ascii="Arial" w:eastAsia="Times New Roman" w:hAnsi="Arial" w:cs="Times New Roman"/>
              <w:b/>
              <w:color w:val="auto"/>
              <w:spacing w:val="-5"/>
              <w:sz w:val="22"/>
              <w:szCs w:val="24"/>
            </w:rPr>
            <w:t>Literatur</w:t>
          </w:r>
        </w:p>
        <w:sdt>
          <w:sdtPr>
            <w:id w:val="111145805"/>
            <w:bibliography/>
          </w:sdtPr>
          <w:sdtEndPr/>
          <w:sdtContent>
            <w:p w:rsidR="00885C29" w:rsidRDefault="00AE5BF6">
              <w:pPr>
                <w:rPr>
                  <w:rFonts w:ascii="Times New Roman" w:hAnsi="Times New Roman"/>
                  <w:noProof/>
                  <w:szCs w:val="20"/>
                  <w:lang w:eastAsia="de-DE"/>
                </w:rPr>
              </w:pPr>
              <w:r>
                <w:fldChar w:fldCharType="begin"/>
              </w:r>
              <w:r>
                <w:instrText>BIBLIOGRAPHY</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
                <w:gridCol w:w="8774"/>
              </w:tblGrid>
              <w:tr w:rsidR="00885C29" w:rsidRPr="00BB0D01">
                <w:trPr>
                  <w:divId w:val="773672737"/>
                  <w:tblCellSpacing w:w="15" w:type="dxa"/>
                </w:trPr>
                <w:tc>
                  <w:tcPr>
                    <w:tcW w:w="50" w:type="pct"/>
                    <w:hideMark/>
                  </w:tcPr>
                  <w:p w:rsidR="00885C29" w:rsidRPr="00885C29" w:rsidRDefault="00885C29" w:rsidP="00885C29">
                    <w:pPr>
                      <w:pStyle w:val="Literatur"/>
                    </w:pPr>
                    <w:r>
                      <w:t xml:space="preserve">[1] </w:t>
                    </w:r>
                  </w:p>
                </w:tc>
                <w:tc>
                  <w:tcPr>
                    <w:tcW w:w="0" w:type="auto"/>
                    <w:hideMark/>
                  </w:tcPr>
                  <w:p w:rsidR="00885C29" w:rsidRPr="00885C29" w:rsidRDefault="00885C29" w:rsidP="00885C29">
                    <w:pPr>
                      <w:pStyle w:val="Literatur"/>
                      <w:rPr>
                        <w:lang w:val="en-GB"/>
                      </w:rPr>
                    </w:pPr>
                    <w:r w:rsidRPr="00885C29">
                      <w:rPr>
                        <w:lang w:val="en-GB"/>
                      </w:rPr>
                      <w:t xml:space="preserve">L. Hirth und I. Schlecht, „Market-Based Redispatch in Zonal Electricity Markets: The Preconditions for and Consequence of Inc-Dec Gaming,“ 2020. </w:t>
                    </w:r>
                  </w:p>
                </w:tc>
              </w:tr>
              <w:tr w:rsidR="00885C29">
                <w:trPr>
                  <w:divId w:val="773672737"/>
                  <w:tblCellSpacing w:w="15" w:type="dxa"/>
                </w:trPr>
                <w:tc>
                  <w:tcPr>
                    <w:tcW w:w="50" w:type="pct"/>
                    <w:hideMark/>
                  </w:tcPr>
                  <w:p w:rsidR="00885C29" w:rsidRDefault="00885C29" w:rsidP="00885C29">
                    <w:pPr>
                      <w:pStyle w:val="Literatur"/>
                    </w:pPr>
                    <w:r>
                      <w:t xml:space="preserve">[2] </w:t>
                    </w:r>
                  </w:p>
                </w:tc>
                <w:tc>
                  <w:tcPr>
                    <w:tcW w:w="0" w:type="auto"/>
                    <w:hideMark/>
                  </w:tcPr>
                  <w:p w:rsidR="00885C29" w:rsidRDefault="00885C29" w:rsidP="00885C29">
                    <w:pPr>
                      <w:pStyle w:val="Literatur"/>
                    </w:pPr>
                    <w:r>
                      <w:t>Ecofys; Fraunhofer IWES, „Smart-Market-Design in deutschen Verteilnetzen,“ Studie im Auftrag von Agora Energiewende, 2017.</w:t>
                    </w:r>
                  </w:p>
                </w:tc>
              </w:tr>
              <w:tr w:rsidR="00885C29" w:rsidRPr="00BB0D01">
                <w:trPr>
                  <w:divId w:val="773672737"/>
                  <w:tblCellSpacing w:w="15" w:type="dxa"/>
                </w:trPr>
                <w:tc>
                  <w:tcPr>
                    <w:tcW w:w="50" w:type="pct"/>
                    <w:hideMark/>
                  </w:tcPr>
                  <w:p w:rsidR="00885C29" w:rsidRDefault="00885C29" w:rsidP="00885C29">
                    <w:pPr>
                      <w:pStyle w:val="Literatur"/>
                    </w:pPr>
                    <w:r>
                      <w:t xml:space="preserve">[3] </w:t>
                    </w:r>
                  </w:p>
                </w:tc>
                <w:tc>
                  <w:tcPr>
                    <w:tcW w:w="0" w:type="auto"/>
                    <w:hideMark/>
                  </w:tcPr>
                  <w:p w:rsidR="00885C29" w:rsidRPr="00885C29" w:rsidRDefault="00885C29" w:rsidP="00885C29">
                    <w:pPr>
                      <w:pStyle w:val="Literatur"/>
                      <w:rPr>
                        <w:lang w:val="en-GB"/>
                      </w:rPr>
                    </w:pPr>
                    <w:r w:rsidRPr="00885C29">
                      <w:rPr>
                        <w:lang w:val="en-GB"/>
                      </w:rPr>
                      <w:t xml:space="preserve">V. Grimm, A. Martin, M. Schmidt, M. Weibelzahl und G. Zöttl, „Transmission and generation investment in electricity markets: The effects of market splitting and network fee regimes,“ European Journal of Operational Research, Bd. 254, Nr. 2, pp. 493-509, 2016. </w:t>
                    </w:r>
                  </w:p>
                </w:tc>
              </w:tr>
              <w:tr w:rsidR="00885C29" w:rsidRPr="00BB0D01">
                <w:trPr>
                  <w:divId w:val="773672737"/>
                  <w:tblCellSpacing w:w="15" w:type="dxa"/>
                </w:trPr>
                <w:tc>
                  <w:tcPr>
                    <w:tcW w:w="50" w:type="pct"/>
                    <w:hideMark/>
                  </w:tcPr>
                  <w:p w:rsidR="00885C29" w:rsidRDefault="00885C29" w:rsidP="00885C29">
                    <w:pPr>
                      <w:pStyle w:val="Literatur"/>
                    </w:pPr>
                    <w:r>
                      <w:t xml:space="preserve">[4] </w:t>
                    </w:r>
                  </w:p>
                </w:tc>
                <w:tc>
                  <w:tcPr>
                    <w:tcW w:w="0" w:type="auto"/>
                    <w:hideMark/>
                  </w:tcPr>
                  <w:p w:rsidR="00885C29" w:rsidRPr="00885C29" w:rsidRDefault="00885C29" w:rsidP="00885C29">
                    <w:pPr>
                      <w:pStyle w:val="Literatur"/>
                      <w:rPr>
                        <w:lang w:val="en-GB"/>
                      </w:rPr>
                    </w:pPr>
                    <w:r w:rsidRPr="00885C29">
                      <w:rPr>
                        <w:lang w:val="en-GB"/>
                      </w:rPr>
                      <w:t xml:space="preserve">V. Grimm, A. Martin, C. Sölch, M. Weibelzahl und G. Zöttl, „Market-based Redispatch May Result in Inefficient Dispatch,“ 2020. </w:t>
                    </w:r>
                  </w:p>
                </w:tc>
              </w:tr>
              <w:tr w:rsidR="00885C29" w:rsidRPr="00BB0D01">
                <w:trPr>
                  <w:divId w:val="773672737"/>
                  <w:tblCellSpacing w:w="15" w:type="dxa"/>
                </w:trPr>
                <w:tc>
                  <w:tcPr>
                    <w:tcW w:w="50" w:type="pct"/>
                    <w:hideMark/>
                  </w:tcPr>
                  <w:p w:rsidR="00885C29" w:rsidRDefault="00885C29" w:rsidP="00885C29">
                    <w:pPr>
                      <w:pStyle w:val="Literatur"/>
                    </w:pPr>
                    <w:r>
                      <w:t xml:space="preserve">[5] </w:t>
                    </w:r>
                  </w:p>
                </w:tc>
                <w:tc>
                  <w:tcPr>
                    <w:tcW w:w="0" w:type="auto"/>
                    <w:hideMark/>
                  </w:tcPr>
                  <w:p w:rsidR="00885C29" w:rsidRPr="00885C29" w:rsidRDefault="00885C29" w:rsidP="00885C29">
                    <w:pPr>
                      <w:pStyle w:val="Literatur"/>
                      <w:rPr>
                        <w:lang w:val="en-GB"/>
                      </w:rPr>
                    </w:pPr>
                    <w:r w:rsidRPr="00885C29">
                      <w:rPr>
                        <w:lang w:val="en-GB"/>
                      </w:rPr>
                      <w:t xml:space="preserve">M. Ambrosius, J. Egerer, A. V. Grimm und A. van der Weijde, „The role of expectations for market design - on structural regulatory uncertainty in electricity markets,“ 2019. </w:t>
                    </w:r>
                  </w:p>
                </w:tc>
              </w:tr>
              <w:tr w:rsidR="00885C29" w:rsidRPr="00BB0D01">
                <w:trPr>
                  <w:divId w:val="773672737"/>
                  <w:tblCellSpacing w:w="15" w:type="dxa"/>
                </w:trPr>
                <w:tc>
                  <w:tcPr>
                    <w:tcW w:w="50" w:type="pct"/>
                    <w:hideMark/>
                  </w:tcPr>
                  <w:p w:rsidR="00885C29" w:rsidRDefault="00885C29" w:rsidP="00885C29">
                    <w:pPr>
                      <w:pStyle w:val="Literatur"/>
                    </w:pPr>
                    <w:r>
                      <w:t xml:space="preserve">[6] </w:t>
                    </w:r>
                  </w:p>
                </w:tc>
                <w:tc>
                  <w:tcPr>
                    <w:tcW w:w="0" w:type="auto"/>
                    <w:hideMark/>
                  </w:tcPr>
                  <w:p w:rsidR="00885C29" w:rsidRPr="00885C29" w:rsidRDefault="00885C29" w:rsidP="00885C29">
                    <w:pPr>
                      <w:pStyle w:val="Literatur"/>
                      <w:rPr>
                        <w:lang w:val="en-GB"/>
                      </w:rPr>
                    </w:pPr>
                    <w:r w:rsidRPr="00885C29">
                      <w:rPr>
                        <w:lang w:val="en-GB"/>
                      </w:rPr>
                      <w:t xml:space="preserve">J. Egerer, J. Weibezahn und T. Hermann, „Two price zones for the German electricity market - Market implications and distributional effects,“ Energy Economics, Bd. 59, pp. 365-381, 2016. </w:t>
                    </w:r>
                  </w:p>
                </w:tc>
              </w:tr>
            </w:tbl>
            <w:p w:rsidR="00885C29" w:rsidRPr="00885C29" w:rsidRDefault="00885C29">
              <w:pPr>
                <w:divId w:val="773672737"/>
                <w:rPr>
                  <w:noProof/>
                  <w:lang w:val="en-GB"/>
                </w:rPr>
              </w:pPr>
            </w:p>
            <w:p w:rsidR="00AE5BF6" w:rsidRDefault="00AE5BF6">
              <w:r>
                <w:rPr>
                  <w:b/>
                  <w:bCs/>
                </w:rPr>
                <w:fldChar w:fldCharType="end"/>
              </w:r>
            </w:p>
          </w:sdtContent>
        </w:sdt>
      </w:sdtContent>
    </w:sdt>
    <w:p w:rsidR="00AE5BF6" w:rsidRPr="00227125" w:rsidRDefault="00AE5BF6" w:rsidP="00227125">
      <w:pPr>
        <w:pStyle w:val="Literatur"/>
      </w:pPr>
    </w:p>
    <w:p w:rsidR="005E4D4F" w:rsidRDefault="005E4D4F" w:rsidP="00227125">
      <w:pPr>
        <w:pStyle w:val="Literatur"/>
      </w:pPr>
    </w:p>
    <w:sectPr w:rsidR="005E4D4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979" w:rsidRDefault="00AC3979">
      <w:r>
        <w:separator/>
      </w:r>
    </w:p>
  </w:endnote>
  <w:endnote w:type="continuationSeparator" w:id="0">
    <w:p w:rsidR="00AC3979" w:rsidRDefault="00AC3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979" w:rsidRDefault="00AC3979">
      <w:r>
        <w:separator/>
      </w:r>
    </w:p>
  </w:footnote>
  <w:footnote w:type="continuationSeparator" w:id="0">
    <w:p w:rsidR="00AC3979" w:rsidRDefault="00AC3979">
      <w:r>
        <w:continuationSeparator/>
      </w:r>
    </w:p>
  </w:footnote>
  <w:footnote w:id="1">
    <w:p w:rsidR="00D53E86" w:rsidRPr="00FB69AE" w:rsidRDefault="00D53E86" w:rsidP="002014D3">
      <w:r w:rsidRPr="00A115D2">
        <w:rPr>
          <w:rStyle w:val="Funotenzeichen"/>
        </w:rPr>
        <w:footnoteRef/>
      </w:r>
      <w:r w:rsidRPr="00D53E86">
        <w:t xml:space="preserve"> </w:t>
      </w:r>
      <w:r w:rsidR="00936248">
        <w:t>Jungautor, Lehrstuhl für VWL, insb. Wirtschaftstheorie: Friedrich-Alexander-Universität Erlangen-Nürnberg, Lange Gasse 20, 90403 Nürnberg - Deutschland</w:t>
      </w:r>
      <w:r w:rsidR="00E520E6">
        <w:t xml:space="preserve">, </w:t>
      </w:r>
      <w:r w:rsidR="00936248">
        <w:t>lukas.m.lang@fau.de</w:t>
      </w:r>
      <w:r>
        <w:t xml:space="preserve">, </w:t>
      </w:r>
      <w:r w:rsidR="00936248">
        <w:t>ww</w:t>
      </w:r>
      <w:r w:rsidR="00936248" w:rsidRPr="00936248">
        <w:t>w.wirtschaftstheorie.wiso.uni-erlangen.de/de/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071F"/>
    <w:multiLevelType w:val="multilevel"/>
    <w:tmpl w:val="0978BA90"/>
    <w:numStyleLink w:val="Aufzhlung"/>
  </w:abstractNum>
  <w:abstractNum w:abstractNumId="1" w15:restartNumberingAfterBreak="0">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D53B23"/>
    <w:multiLevelType w:val="hybridMultilevel"/>
    <w:tmpl w:val="42041FD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5D75967"/>
    <w:multiLevelType w:val="multilevel"/>
    <w:tmpl w:val="0978BA90"/>
    <w:numStyleLink w:val="Aufzhlung"/>
  </w:abstractNum>
  <w:abstractNum w:abstractNumId="4" w15:restartNumberingAfterBreak="0">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K0MDM1NjEzMDQ2NDFX0lEKTi0uzszPAykwrAUAX6v8WSwAAAA="/>
  </w:docVars>
  <w:rsids>
    <w:rsidRoot w:val="005E4D4F"/>
    <w:rsid w:val="00010E92"/>
    <w:rsid w:val="00077343"/>
    <w:rsid w:val="001E2AF1"/>
    <w:rsid w:val="002014D3"/>
    <w:rsid w:val="00227125"/>
    <w:rsid w:val="00262FD5"/>
    <w:rsid w:val="002646C1"/>
    <w:rsid w:val="002946B8"/>
    <w:rsid w:val="002C2F1D"/>
    <w:rsid w:val="00350F98"/>
    <w:rsid w:val="00372E07"/>
    <w:rsid w:val="003B676F"/>
    <w:rsid w:val="003C28FE"/>
    <w:rsid w:val="00443396"/>
    <w:rsid w:val="00443D80"/>
    <w:rsid w:val="00483B87"/>
    <w:rsid w:val="005B1ADB"/>
    <w:rsid w:val="005D4C85"/>
    <w:rsid w:val="005E4D4F"/>
    <w:rsid w:val="00662525"/>
    <w:rsid w:val="007378C8"/>
    <w:rsid w:val="00741EC0"/>
    <w:rsid w:val="00803917"/>
    <w:rsid w:val="00805376"/>
    <w:rsid w:val="008263A4"/>
    <w:rsid w:val="00885C29"/>
    <w:rsid w:val="008905D4"/>
    <w:rsid w:val="008B023E"/>
    <w:rsid w:val="00936248"/>
    <w:rsid w:val="00A07737"/>
    <w:rsid w:val="00A156E4"/>
    <w:rsid w:val="00A5729A"/>
    <w:rsid w:val="00A6148D"/>
    <w:rsid w:val="00AB7A14"/>
    <w:rsid w:val="00AC3979"/>
    <w:rsid w:val="00AE5BF6"/>
    <w:rsid w:val="00BB0D01"/>
    <w:rsid w:val="00BF05FA"/>
    <w:rsid w:val="00CE1A70"/>
    <w:rsid w:val="00D310DA"/>
    <w:rsid w:val="00D53E86"/>
    <w:rsid w:val="00D736F8"/>
    <w:rsid w:val="00E00C16"/>
    <w:rsid w:val="00E520E6"/>
    <w:rsid w:val="00EC6C9D"/>
    <w:rsid w:val="00FB69AE"/>
    <w:rsid w:val="00FD5D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3C7DAA"/>
  <w15:chartTrackingRefBased/>
  <w15:docId w15:val="{59B9B081-1316-4B2C-9D1D-FBDAB809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27125"/>
    <w:pPr>
      <w:jc w:val="both"/>
    </w:pPr>
    <w:rPr>
      <w:rFonts w:ascii="Arial" w:hAnsi="Arial"/>
      <w:szCs w:val="24"/>
      <w:lang w:eastAsia="ko-KR"/>
    </w:rPr>
  </w:style>
  <w:style w:type="paragraph" w:styleId="berschrift1">
    <w:name w:val="heading 1"/>
    <w:basedOn w:val="Standard"/>
    <w:next w:val="Standard"/>
    <w:link w:val="berschrift1Zchn"/>
    <w:uiPriority w:val="9"/>
    <w:qFormat/>
    <w:rsid w:val="00AE5BF6"/>
    <w:pPr>
      <w:keepNext/>
      <w:keepLines/>
      <w:spacing w:before="240" w:line="259" w:lineRule="auto"/>
      <w:jc w:val="left"/>
      <w:outlineLvl w:val="0"/>
    </w:pPr>
    <w:rPr>
      <w:rFonts w:asciiTheme="majorHAnsi" w:eastAsiaTheme="majorEastAsia" w:hAnsiTheme="majorHAnsi" w:cstheme="majorBidi"/>
      <w:color w:val="2E74B5" w:themeColor="accent1" w:themeShade="BF"/>
      <w:sz w:val="32"/>
      <w:szCs w:val="3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el">
    <w:name w:val="Title"/>
    <w:basedOn w:val="Standard"/>
    <w:link w:val="TitelZchn"/>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KeineListe"/>
    <w:rsid w:val="00227125"/>
    <w:pPr>
      <w:numPr>
        <w:numId w:val="2"/>
      </w:numPr>
    </w:pPr>
  </w:style>
  <w:style w:type="paragraph" w:customStyle="1" w:styleId="Abbildungsbeschriftung">
    <w:name w:val="Abbildungsbeschriftung"/>
    <w:basedOn w:val="Standard"/>
    <w:rsid w:val="002946B8"/>
    <w:rPr>
      <w:i/>
      <w:iCs/>
    </w:rPr>
  </w:style>
  <w:style w:type="character" w:customStyle="1" w:styleId="TitelZchn">
    <w:name w:val="Titel Zchn"/>
    <w:link w:val="Titel"/>
    <w:rsid w:val="005E4D4F"/>
    <w:rPr>
      <w:rFonts w:ascii="Arial" w:hAnsi="Arial"/>
      <w:b/>
      <w:snapToGrid w:val="0"/>
      <w:kern w:val="28"/>
      <w:sz w:val="32"/>
      <w:lang w:val="de-DE" w:eastAsia="en-US" w:bidi="ar-SA"/>
    </w:rPr>
  </w:style>
  <w:style w:type="paragraph" w:customStyle="1" w:styleId="Ueberschrift">
    <w:name w:val="Ueberschrift"/>
    <w:basedOn w:val="Standard"/>
    <w:link w:val="UeberschriftChar"/>
    <w:rsid w:val="00A07737"/>
    <w:pPr>
      <w:spacing w:before="120" w:after="120"/>
    </w:pPr>
    <w:rPr>
      <w:b/>
      <w:spacing w:val="-5"/>
      <w:sz w:val="22"/>
      <w:lang w:eastAsia="de-DE"/>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el"/>
    <w:rsid w:val="005E4D4F"/>
    <w:rPr>
      <w:rFonts w:cs="Arial"/>
    </w:rPr>
  </w:style>
  <w:style w:type="paragraph" w:customStyle="1" w:styleId="AutorenOrganisation">
    <w:name w:val="Autoren &amp; Organisation"/>
    <w:basedOn w:val="Standard"/>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paragraph" w:customStyle="1" w:styleId="Literatur">
    <w:name w:val="Literatur"/>
    <w:basedOn w:val="Standard"/>
    <w:rsid w:val="005E4D4F"/>
    <w:pPr>
      <w:ind w:left="284" w:hanging="284"/>
    </w:pPr>
    <w:rPr>
      <w:rFonts w:cs="Arial"/>
      <w:szCs w:val="20"/>
      <w:lang w:eastAsia="de-DE"/>
    </w:rPr>
  </w:style>
  <w:style w:type="character" w:styleId="Hyperlink">
    <w:name w:val="Hyperlink"/>
    <w:basedOn w:val="Absatz-Standardschriftart"/>
    <w:uiPriority w:val="99"/>
    <w:unhideWhenUsed/>
    <w:rsid w:val="00936248"/>
    <w:rPr>
      <w:color w:val="0563C1" w:themeColor="hyperlink"/>
      <w:u w:val="single"/>
    </w:rPr>
  </w:style>
  <w:style w:type="paragraph" w:styleId="Listenabsatz">
    <w:name w:val="List Paragraph"/>
    <w:basedOn w:val="Standard"/>
    <w:uiPriority w:val="34"/>
    <w:qFormat/>
    <w:rsid w:val="00936248"/>
    <w:pPr>
      <w:ind w:left="720"/>
      <w:contextualSpacing/>
    </w:pPr>
  </w:style>
  <w:style w:type="character" w:customStyle="1" w:styleId="berschrift1Zchn">
    <w:name w:val="Überschrift 1 Zchn"/>
    <w:basedOn w:val="Absatz-Standardschriftart"/>
    <w:link w:val="berschrift1"/>
    <w:uiPriority w:val="9"/>
    <w:rsid w:val="00AE5BF6"/>
    <w:rPr>
      <w:rFonts w:asciiTheme="majorHAnsi" w:eastAsiaTheme="majorEastAsia" w:hAnsiTheme="majorHAnsi" w:cstheme="majorBidi"/>
      <w:color w:val="2E74B5" w:themeColor="accent1" w:themeShade="BF"/>
      <w:sz w:val="32"/>
      <w:szCs w:val="32"/>
    </w:rPr>
  </w:style>
  <w:style w:type="paragraph" w:styleId="Literaturverzeichnis">
    <w:name w:val="Bibliography"/>
    <w:basedOn w:val="Standard"/>
    <w:next w:val="Standard"/>
    <w:uiPriority w:val="37"/>
    <w:unhideWhenUsed/>
    <w:rsid w:val="00AE5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7618">
      <w:bodyDiv w:val="1"/>
      <w:marLeft w:val="0"/>
      <w:marRight w:val="0"/>
      <w:marTop w:val="0"/>
      <w:marBottom w:val="0"/>
      <w:divBdr>
        <w:top w:val="none" w:sz="0" w:space="0" w:color="auto"/>
        <w:left w:val="none" w:sz="0" w:space="0" w:color="auto"/>
        <w:bottom w:val="none" w:sz="0" w:space="0" w:color="auto"/>
        <w:right w:val="none" w:sz="0" w:space="0" w:color="auto"/>
      </w:divBdr>
    </w:div>
    <w:div w:id="129910617">
      <w:bodyDiv w:val="1"/>
      <w:marLeft w:val="0"/>
      <w:marRight w:val="0"/>
      <w:marTop w:val="0"/>
      <w:marBottom w:val="0"/>
      <w:divBdr>
        <w:top w:val="none" w:sz="0" w:space="0" w:color="auto"/>
        <w:left w:val="none" w:sz="0" w:space="0" w:color="auto"/>
        <w:bottom w:val="none" w:sz="0" w:space="0" w:color="auto"/>
        <w:right w:val="none" w:sz="0" w:space="0" w:color="auto"/>
      </w:divBdr>
    </w:div>
    <w:div w:id="150174395">
      <w:bodyDiv w:val="1"/>
      <w:marLeft w:val="0"/>
      <w:marRight w:val="0"/>
      <w:marTop w:val="0"/>
      <w:marBottom w:val="0"/>
      <w:divBdr>
        <w:top w:val="none" w:sz="0" w:space="0" w:color="auto"/>
        <w:left w:val="none" w:sz="0" w:space="0" w:color="auto"/>
        <w:bottom w:val="none" w:sz="0" w:space="0" w:color="auto"/>
        <w:right w:val="none" w:sz="0" w:space="0" w:color="auto"/>
      </w:divBdr>
    </w:div>
    <w:div w:id="443963985">
      <w:bodyDiv w:val="1"/>
      <w:marLeft w:val="0"/>
      <w:marRight w:val="0"/>
      <w:marTop w:val="0"/>
      <w:marBottom w:val="0"/>
      <w:divBdr>
        <w:top w:val="none" w:sz="0" w:space="0" w:color="auto"/>
        <w:left w:val="none" w:sz="0" w:space="0" w:color="auto"/>
        <w:bottom w:val="none" w:sz="0" w:space="0" w:color="auto"/>
        <w:right w:val="none" w:sz="0" w:space="0" w:color="auto"/>
      </w:divBdr>
    </w:div>
    <w:div w:id="450900602">
      <w:bodyDiv w:val="1"/>
      <w:marLeft w:val="0"/>
      <w:marRight w:val="0"/>
      <w:marTop w:val="0"/>
      <w:marBottom w:val="0"/>
      <w:divBdr>
        <w:top w:val="none" w:sz="0" w:space="0" w:color="auto"/>
        <w:left w:val="none" w:sz="0" w:space="0" w:color="auto"/>
        <w:bottom w:val="none" w:sz="0" w:space="0" w:color="auto"/>
        <w:right w:val="none" w:sz="0" w:space="0" w:color="auto"/>
      </w:divBdr>
    </w:div>
    <w:div w:id="559485613">
      <w:bodyDiv w:val="1"/>
      <w:marLeft w:val="0"/>
      <w:marRight w:val="0"/>
      <w:marTop w:val="0"/>
      <w:marBottom w:val="0"/>
      <w:divBdr>
        <w:top w:val="none" w:sz="0" w:space="0" w:color="auto"/>
        <w:left w:val="none" w:sz="0" w:space="0" w:color="auto"/>
        <w:bottom w:val="none" w:sz="0" w:space="0" w:color="auto"/>
        <w:right w:val="none" w:sz="0" w:space="0" w:color="auto"/>
      </w:divBdr>
    </w:div>
    <w:div w:id="655843544">
      <w:bodyDiv w:val="1"/>
      <w:marLeft w:val="0"/>
      <w:marRight w:val="0"/>
      <w:marTop w:val="0"/>
      <w:marBottom w:val="0"/>
      <w:divBdr>
        <w:top w:val="none" w:sz="0" w:space="0" w:color="auto"/>
        <w:left w:val="none" w:sz="0" w:space="0" w:color="auto"/>
        <w:bottom w:val="none" w:sz="0" w:space="0" w:color="auto"/>
        <w:right w:val="none" w:sz="0" w:space="0" w:color="auto"/>
      </w:divBdr>
    </w:div>
    <w:div w:id="746879312">
      <w:bodyDiv w:val="1"/>
      <w:marLeft w:val="0"/>
      <w:marRight w:val="0"/>
      <w:marTop w:val="0"/>
      <w:marBottom w:val="0"/>
      <w:divBdr>
        <w:top w:val="none" w:sz="0" w:space="0" w:color="auto"/>
        <w:left w:val="none" w:sz="0" w:space="0" w:color="auto"/>
        <w:bottom w:val="none" w:sz="0" w:space="0" w:color="auto"/>
        <w:right w:val="none" w:sz="0" w:space="0" w:color="auto"/>
      </w:divBdr>
    </w:div>
    <w:div w:id="773672737">
      <w:bodyDiv w:val="1"/>
      <w:marLeft w:val="0"/>
      <w:marRight w:val="0"/>
      <w:marTop w:val="0"/>
      <w:marBottom w:val="0"/>
      <w:divBdr>
        <w:top w:val="none" w:sz="0" w:space="0" w:color="auto"/>
        <w:left w:val="none" w:sz="0" w:space="0" w:color="auto"/>
        <w:bottom w:val="none" w:sz="0" w:space="0" w:color="auto"/>
        <w:right w:val="none" w:sz="0" w:space="0" w:color="auto"/>
      </w:divBdr>
    </w:div>
    <w:div w:id="823398609">
      <w:bodyDiv w:val="1"/>
      <w:marLeft w:val="0"/>
      <w:marRight w:val="0"/>
      <w:marTop w:val="0"/>
      <w:marBottom w:val="0"/>
      <w:divBdr>
        <w:top w:val="none" w:sz="0" w:space="0" w:color="auto"/>
        <w:left w:val="none" w:sz="0" w:space="0" w:color="auto"/>
        <w:bottom w:val="none" w:sz="0" w:space="0" w:color="auto"/>
        <w:right w:val="none" w:sz="0" w:space="0" w:color="auto"/>
      </w:divBdr>
    </w:div>
    <w:div w:id="918059277">
      <w:bodyDiv w:val="1"/>
      <w:marLeft w:val="0"/>
      <w:marRight w:val="0"/>
      <w:marTop w:val="0"/>
      <w:marBottom w:val="0"/>
      <w:divBdr>
        <w:top w:val="none" w:sz="0" w:space="0" w:color="auto"/>
        <w:left w:val="none" w:sz="0" w:space="0" w:color="auto"/>
        <w:bottom w:val="none" w:sz="0" w:space="0" w:color="auto"/>
        <w:right w:val="none" w:sz="0" w:space="0" w:color="auto"/>
      </w:divBdr>
    </w:div>
    <w:div w:id="943997694">
      <w:bodyDiv w:val="1"/>
      <w:marLeft w:val="0"/>
      <w:marRight w:val="0"/>
      <w:marTop w:val="0"/>
      <w:marBottom w:val="0"/>
      <w:divBdr>
        <w:top w:val="none" w:sz="0" w:space="0" w:color="auto"/>
        <w:left w:val="none" w:sz="0" w:space="0" w:color="auto"/>
        <w:bottom w:val="none" w:sz="0" w:space="0" w:color="auto"/>
        <w:right w:val="none" w:sz="0" w:space="0" w:color="auto"/>
      </w:divBdr>
    </w:div>
    <w:div w:id="1178422793">
      <w:bodyDiv w:val="1"/>
      <w:marLeft w:val="0"/>
      <w:marRight w:val="0"/>
      <w:marTop w:val="0"/>
      <w:marBottom w:val="0"/>
      <w:divBdr>
        <w:top w:val="none" w:sz="0" w:space="0" w:color="auto"/>
        <w:left w:val="none" w:sz="0" w:space="0" w:color="auto"/>
        <w:bottom w:val="none" w:sz="0" w:space="0" w:color="auto"/>
        <w:right w:val="none" w:sz="0" w:space="0" w:color="auto"/>
      </w:divBdr>
    </w:div>
    <w:div w:id="1179270294">
      <w:bodyDiv w:val="1"/>
      <w:marLeft w:val="0"/>
      <w:marRight w:val="0"/>
      <w:marTop w:val="0"/>
      <w:marBottom w:val="0"/>
      <w:divBdr>
        <w:top w:val="none" w:sz="0" w:space="0" w:color="auto"/>
        <w:left w:val="none" w:sz="0" w:space="0" w:color="auto"/>
        <w:bottom w:val="none" w:sz="0" w:space="0" w:color="auto"/>
        <w:right w:val="none" w:sz="0" w:space="0" w:color="auto"/>
      </w:divBdr>
    </w:div>
    <w:div w:id="1248996326">
      <w:bodyDiv w:val="1"/>
      <w:marLeft w:val="0"/>
      <w:marRight w:val="0"/>
      <w:marTop w:val="0"/>
      <w:marBottom w:val="0"/>
      <w:divBdr>
        <w:top w:val="none" w:sz="0" w:space="0" w:color="auto"/>
        <w:left w:val="none" w:sz="0" w:space="0" w:color="auto"/>
        <w:bottom w:val="none" w:sz="0" w:space="0" w:color="auto"/>
        <w:right w:val="none" w:sz="0" w:space="0" w:color="auto"/>
      </w:divBdr>
    </w:div>
    <w:div w:id="1260218794">
      <w:bodyDiv w:val="1"/>
      <w:marLeft w:val="0"/>
      <w:marRight w:val="0"/>
      <w:marTop w:val="0"/>
      <w:marBottom w:val="0"/>
      <w:divBdr>
        <w:top w:val="none" w:sz="0" w:space="0" w:color="auto"/>
        <w:left w:val="none" w:sz="0" w:space="0" w:color="auto"/>
        <w:bottom w:val="none" w:sz="0" w:space="0" w:color="auto"/>
        <w:right w:val="none" w:sz="0" w:space="0" w:color="auto"/>
      </w:divBdr>
    </w:div>
    <w:div w:id="1295017846">
      <w:bodyDiv w:val="1"/>
      <w:marLeft w:val="0"/>
      <w:marRight w:val="0"/>
      <w:marTop w:val="0"/>
      <w:marBottom w:val="0"/>
      <w:divBdr>
        <w:top w:val="none" w:sz="0" w:space="0" w:color="auto"/>
        <w:left w:val="none" w:sz="0" w:space="0" w:color="auto"/>
        <w:bottom w:val="none" w:sz="0" w:space="0" w:color="auto"/>
        <w:right w:val="none" w:sz="0" w:space="0" w:color="auto"/>
      </w:divBdr>
    </w:div>
    <w:div w:id="1322077729">
      <w:bodyDiv w:val="1"/>
      <w:marLeft w:val="0"/>
      <w:marRight w:val="0"/>
      <w:marTop w:val="0"/>
      <w:marBottom w:val="0"/>
      <w:divBdr>
        <w:top w:val="none" w:sz="0" w:space="0" w:color="auto"/>
        <w:left w:val="none" w:sz="0" w:space="0" w:color="auto"/>
        <w:bottom w:val="none" w:sz="0" w:space="0" w:color="auto"/>
        <w:right w:val="none" w:sz="0" w:space="0" w:color="auto"/>
      </w:divBdr>
    </w:div>
    <w:div w:id="1359741374">
      <w:bodyDiv w:val="1"/>
      <w:marLeft w:val="0"/>
      <w:marRight w:val="0"/>
      <w:marTop w:val="0"/>
      <w:marBottom w:val="0"/>
      <w:divBdr>
        <w:top w:val="none" w:sz="0" w:space="0" w:color="auto"/>
        <w:left w:val="none" w:sz="0" w:space="0" w:color="auto"/>
        <w:bottom w:val="none" w:sz="0" w:space="0" w:color="auto"/>
        <w:right w:val="none" w:sz="0" w:space="0" w:color="auto"/>
      </w:divBdr>
    </w:div>
    <w:div w:id="1535967799">
      <w:bodyDiv w:val="1"/>
      <w:marLeft w:val="0"/>
      <w:marRight w:val="0"/>
      <w:marTop w:val="0"/>
      <w:marBottom w:val="0"/>
      <w:divBdr>
        <w:top w:val="none" w:sz="0" w:space="0" w:color="auto"/>
        <w:left w:val="none" w:sz="0" w:space="0" w:color="auto"/>
        <w:bottom w:val="none" w:sz="0" w:space="0" w:color="auto"/>
        <w:right w:val="none" w:sz="0" w:space="0" w:color="auto"/>
      </w:divBdr>
    </w:div>
    <w:div w:id="1559046916">
      <w:bodyDiv w:val="1"/>
      <w:marLeft w:val="0"/>
      <w:marRight w:val="0"/>
      <w:marTop w:val="0"/>
      <w:marBottom w:val="0"/>
      <w:divBdr>
        <w:top w:val="none" w:sz="0" w:space="0" w:color="auto"/>
        <w:left w:val="none" w:sz="0" w:space="0" w:color="auto"/>
        <w:bottom w:val="none" w:sz="0" w:space="0" w:color="auto"/>
        <w:right w:val="none" w:sz="0" w:space="0" w:color="auto"/>
      </w:divBdr>
    </w:div>
    <w:div w:id="1731613437">
      <w:bodyDiv w:val="1"/>
      <w:marLeft w:val="0"/>
      <w:marRight w:val="0"/>
      <w:marTop w:val="0"/>
      <w:marBottom w:val="0"/>
      <w:divBdr>
        <w:top w:val="none" w:sz="0" w:space="0" w:color="auto"/>
        <w:left w:val="none" w:sz="0" w:space="0" w:color="auto"/>
        <w:bottom w:val="none" w:sz="0" w:space="0" w:color="auto"/>
        <w:right w:val="none" w:sz="0" w:space="0" w:color="auto"/>
      </w:divBdr>
    </w:div>
    <w:div w:id="2053454585">
      <w:bodyDiv w:val="1"/>
      <w:marLeft w:val="0"/>
      <w:marRight w:val="0"/>
      <w:marTop w:val="0"/>
      <w:marBottom w:val="0"/>
      <w:divBdr>
        <w:top w:val="none" w:sz="0" w:space="0" w:color="auto"/>
        <w:left w:val="none" w:sz="0" w:space="0" w:color="auto"/>
        <w:bottom w:val="none" w:sz="0" w:space="0" w:color="auto"/>
        <w:right w:val="none" w:sz="0" w:space="0" w:color="auto"/>
      </w:divBdr>
    </w:div>
    <w:div w:id="207180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Eco17</b:Tag>
    <b:SourceType>Report</b:SourceType>
    <b:Guid>{1A7E489B-028A-4EFC-881C-3ECBF90E79F7}</b:Guid>
    <b:Title>Smart-Market-Design in deutschen Verteilnetzen</b:Title>
    <b:Year>2017</b:Year>
    <b:Author>
      <b:Author>
        <b:Corporate>Ecofys; Fraunhofer IWES</b:Corporate>
      </b:Author>
    </b:Author>
    <b:Publisher>Studie im Auftrag von Agora Energiewende</b:Publisher>
    <b:RefOrder>2</b:RefOrder>
  </b:Source>
  <b:Source>
    <b:Tag>Gri16</b:Tag>
    <b:SourceType>ArticleInAPeriodical</b:SourceType>
    <b:Guid>{58A6CB4E-466E-4904-A646-58771896EFCE}</b:Guid>
    <b:Author>
      <b:Author>
        <b:NameList>
          <b:Person>
            <b:Last>Grimm</b:Last>
            <b:First>V.</b:First>
          </b:Person>
          <b:Person>
            <b:Last>Martin</b:Last>
            <b:First>A.</b:First>
          </b:Person>
          <b:Person>
            <b:Last>Schmidt</b:Last>
            <b:First>M.</b:First>
          </b:Person>
          <b:Person>
            <b:Last>Weibelzahl</b:Last>
            <b:First>M.</b:First>
          </b:Person>
          <b:Person>
            <b:Last>Zöttl</b:Last>
            <b:First>G.</b:First>
          </b:Person>
        </b:NameList>
      </b:Author>
    </b:Author>
    <b:Title>Transmission and generation investment in electricity markets: The effects of market splitting and network fee regimes</b:Title>
    <b:PeriodicalTitle>European Journal of Operational Research</b:PeriodicalTitle>
    <b:Year>2016</b:Year>
    <b:Pages>493-509</b:Pages>
    <b:Volume>254</b:Volume>
    <b:Issue>2</b:Issue>
    <b:RefOrder>3</b:RefOrder>
  </b:Source>
  <b:Source>
    <b:Tag>Gri20</b:Tag>
    <b:SourceType>JournalArticle</b:SourceType>
    <b:Guid>{98D408A6-CA5E-4AED-B693-6CCEAA033574}</b:Guid>
    <b:Title>Market-based Redispatch May Result in Inefficient Dispatch</b:Title>
    <b:Year>2020</b:Year>
    <b:Author>
      <b:Author>
        <b:NameList>
          <b:Person>
            <b:Last>Grimm</b:Last>
            <b:First>V.</b:First>
          </b:Person>
          <b:Person>
            <b:Last>Martin</b:Last>
            <b:First>A.</b:First>
          </b:Person>
          <b:Person>
            <b:Last>Sölch</b:Last>
            <b:First>C.</b:First>
          </b:Person>
          <b:Person>
            <b:Last>Weibelzahl</b:Last>
            <b:First>M.</b:First>
          </b:Person>
          <b:Person>
            <b:Last>Zöttl</b:Last>
            <b:First>G.</b:First>
          </b:Person>
        </b:NameList>
      </b:Author>
    </b:Author>
    <b:RefOrder>4</b:RefOrder>
  </b:Source>
  <b:Source>
    <b:Tag>Hir20</b:Tag>
    <b:SourceType>JournalArticle</b:SourceType>
    <b:Guid>{F495E3BF-9EDB-442C-9A46-BD9998B2C028}</b:Guid>
    <b:Title>Market-Based Redispatch in Zonal Electricity Markets: The Preconditions for and Consequence of Inc-Dec Gaming</b:Title>
    <b:Year>2020</b:Year>
    <b:Author>
      <b:Author>
        <b:NameList>
          <b:Person>
            <b:Last>Hirth</b:Last>
            <b:First>L.</b:First>
          </b:Person>
          <b:Person>
            <b:Last>Schlecht</b:Last>
            <b:First>I.</b:First>
          </b:Person>
        </b:NameList>
      </b:Author>
    </b:Author>
    <b:RefOrder>1</b:RefOrder>
  </b:Source>
  <b:Source>
    <b:Tag>Ege161</b:Tag>
    <b:SourceType>JournalArticle</b:SourceType>
    <b:Guid>{0A85A728-9723-47B8-835E-82020FB0AC69}</b:Guid>
    <b:Author>
      <b:Author>
        <b:NameList>
          <b:Person>
            <b:Last>Egerer</b:Last>
            <b:First>J.</b:First>
          </b:Person>
          <b:Person>
            <b:Last>Weibezahn</b:Last>
            <b:First>J.</b:First>
          </b:Person>
          <b:Person>
            <b:Last>Hermann</b:Last>
            <b:First>T.</b:First>
          </b:Person>
        </b:NameList>
      </b:Author>
    </b:Author>
    <b:Title>Two price zones for the German electricity market - Market implications and distributional effects</b:Title>
    <b:JournalName>Energy Economics</b:JournalName>
    <b:Year>2016</b:Year>
    <b:Pages>365-381</b:Pages>
    <b:Volume>59</b:Volume>
    <b:RefOrder>6</b:RefOrder>
  </b:Source>
  <b:Source>
    <b:Tag>Amb19</b:Tag>
    <b:SourceType>ArticleInAPeriodical</b:SourceType>
    <b:Guid>{608B2C19-1827-4B1F-B123-1EF5FB11EA37}</b:Guid>
    <b:Author>
      <b:Author>
        <b:NameList>
          <b:Person>
            <b:Last>Ambrosius</b:Last>
            <b:First>M.</b:First>
          </b:Person>
          <b:Person>
            <b:Last>Egerer</b:Last>
            <b:First>J.</b:First>
          </b:Person>
          <b:Person>
            <b:Last>Grimm</b:Last>
            <b:First>A.</b:First>
            <b:Middle>V.</b:Middle>
          </b:Person>
          <b:Person>
            <b:Last>van der Weijde</b:Last>
            <b:First>A.</b:First>
          </b:Person>
        </b:NameList>
      </b:Author>
    </b:Author>
    <b:JournalName>The role of expectations for market design - on structural regulatory uncertainty in electricity markets</b:JournalName>
    <b:Year>2019</b:Year>
    <b:DOI>10.17863/CAM.40107</b:DOI>
    <b:Title>The role of expectations for market design - on structural regulatory uncertainty in electricity markets</b:Title>
    <b:RefOrder>5</b:RefOrder>
  </b:Source>
</b:Sources>
</file>

<file path=customXml/itemProps1.xml><?xml version="1.0" encoding="utf-8"?>
<ds:datastoreItem xmlns:ds="http://schemas.openxmlformats.org/officeDocument/2006/customXml" ds:itemID="{10514070-0F8C-4262-9CED-561014A3B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839</Words>
  <Characters>5287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Titel</vt:lpstr>
    </vt:vector>
  </TitlesOfParts>
  <Company>TU-Wien Campuslizenz</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Gerald</dc:creator>
  <cp:keywords/>
  <cp:lastModifiedBy>Lang, Lukas</cp:lastModifiedBy>
  <cp:revision>7</cp:revision>
  <dcterms:created xsi:type="dcterms:W3CDTF">2021-05-26T11:55:00Z</dcterms:created>
  <dcterms:modified xsi:type="dcterms:W3CDTF">2021-05-27T12:49:00Z</dcterms:modified>
</cp:coreProperties>
</file>