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004E" w14:textId="40B1C9BC" w:rsidR="005E4D4F" w:rsidRPr="005E4D4F" w:rsidRDefault="00A37A36" w:rsidP="005E4D4F">
      <w:pPr>
        <w:pStyle w:val="Abstract-Titel"/>
      </w:pPr>
      <w:r>
        <w:t xml:space="preserve">Bepreisung von gehandeltem </w:t>
      </w:r>
      <w:r w:rsidR="00B34F46">
        <w:t>PV-</w:t>
      </w:r>
      <w:r>
        <w:t>Strom</w:t>
      </w:r>
      <w:r w:rsidR="00931A84">
        <w:t xml:space="preserve"> in </w:t>
      </w:r>
      <w:r w:rsidR="00931A84">
        <w:br/>
        <w:t>Erneuerbaren-Energie-Gemeinschaften</w:t>
      </w:r>
    </w:p>
    <w:p w14:paraId="2C1576B2" w14:textId="0194DCDD" w:rsidR="005E4D4F" w:rsidRPr="00931A84" w:rsidRDefault="00B261CA" w:rsidP="00A156E4">
      <w:pPr>
        <w:pStyle w:val="AutorenOrganisation"/>
        <w:rPr>
          <w:lang w:val="de-DE"/>
        </w:rPr>
      </w:pPr>
      <w:r w:rsidRPr="00B261CA">
        <w:t xml:space="preserve">Aktive </w:t>
      </w:r>
      <w:proofErr w:type="spellStart"/>
      <w:r w:rsidRPr="00B261CA">
        <w:t>Endkund</w:t>
      </w:r>
      <w:proofErr w:type="spellEnd"/>
      <w:r>
        <w:t>*inn</w:t>
      </w:r>
      <w:r w:rsidRPr="00B261CA">
        <w:t>en-/</w:t>
      </w:r>
      <w:proofErr w:type="spellStart"/>
      <w:r w:rsidRPr="00B261CA">
        <w:t>Prosumerpartizipation</w:t>
      </w:r>
      <w:proofErr w:type="spellEnd"/>
      <w:r w:rsidR="00931A84">
        <w:br/>
      </w:r>
      <w:r w:rsidR="00931A84" w:rsidRPr="00931A84">
        <w:rPr>
          <w:lang w:val="de-DE"/>
        </w:rPr>
        <w:t>Carolin MONSBERGER</w:t>
      </w:r>
      <w:r w:rsidR="005E4D4F" w:rsidRPr="00010E92">
        <w:rPr>
          <w:vertAlign w:val="superscript"/>
        </w:rPr>
        <w:footnoteReference w:id="1"/>
      </w:r>
      <w:r w:rsidR="00A156E4" w:rsidRPr="00931A84">
        <w:rPr>
          <w:vertAlign w:val="superscript"/>
          <w:lang w:val="de-DE"/>
        </w:rPr>
        <w:t>(1)</w:t>
      </w:r>
    </w:p>
    <w:p w14:paraId="4E7753A5" w14:textId="77777777" w:rsidR="005E4D4F" w:rsidRPr="00931A84" w:rsidRDefault="00D072FB" w:rsidP="00D072FB">
      <w:pPr>
        <w:pStyle w:val="AutorenOrganisation"/>
        <w:rPr>
          <w:lang w:val="en-US"/>
        </w:rPr>
      </w:pPr>
      <w:r w:rsidRPr="00D072FB">
        <w:rPr>
          <w:vertAlign w:val="superscript"/>
          <w:lang w:val="en-US"/>
        </w:rPr>
        <w:t>(1)</w:t>
      </w:r>
      <w:r>
        <w:rPr>
          <w:lang w:val="en-US"/>
        </w:rPr>
        <w:t xml:space="preserve"> </w:t>
      </w:r>
      <w:r w:rsidR="00931A84" w:rsidRPr="00931A84">
        <w:rPr>
          <w:lang w:val="en-US"/>
        </w:rPr>
        <w:t>AIT Austrian Institute of Technology GmbH</w:t>
      </w:r>
    </w:p>
    <w:p w14:paraId="52D0B7A2" w14:textId="77777777" w:rsidR="00A07737" w:rsidRPr="00931A84" w:rsidRDefault="00A07737" w:rsidP="00FB69AE">
      <w:pPr>
        <w:rPr>
          <w:lang w:val="en-US"/>
        </w:rPr>
      </w:pPr>
    </w:p>
    <w:p w14:paraId="2C21A1C3" w14:textId="77777777" w:rsidR="005E4D4F" w:rsidRPr="005E4D4F" w:rsidRDefault="005E4D4F" w:rsidP="005E4D4F">
      <w:pPr>
        <w:pStyle w:val="Ueberschrift"/>
      </w:pPr>
      <w:bookmarkStart w:id="0" w:name="_Hlk72504204"/>
      <w:r w:rsidRPr="005E4D4F">
        <w:t>Motivation und zentrale Fragestellung</w:t>
      </w:r>
    </w:p>
    <w:bookmarkEnd w:id="0"/>
    <w:p w14:paraId="21477C80" w14:textId="64F4E253" w:rsidR="000979E0" w:rsidRDefault="000979E0" w:rsidP="000979E0">
      <w:r>
        <w:t xml:space="preserve">Das Konzept der Energiegemeinschaften </w:t>
      </w:r>
      <w:r w:rsidR="00F92D78">
        <w:t>wurde im</w:t>
      </w:r>
      <w:r>
        <w:t xml:space="preserve"> österreichischen Erneuerbaren-Ausbau-Gesetzes-Paket (EAG), welches </w:t>
      </w:r>
      <w:r w:rsidR="00F92D78">
        <w:t>im Juli</w:t>
      </w:r>
      <w:r w:rsidR="00A176C2">
        <w:t xml:space="preserve"> </w:t>
      </w:r>
      <w:r>
        <w:t xml:space="preserve">2021 beschlossen </w:t>
      </w:r>
      <w:r w:rsidR="00F92D78">
        <w:t>wurde</w:t>
      </w:r>
      <w:r>
        <w:t xml:space="preserve">, ermöglicht </w:t>
      </w:r>
      <w:r w:rsidR="009E70E9">
        <w:t>[1]</w:t>
      </w:r>
      <w:r>
        <w:t>. Dabei wird zwischen Erneuerbare-Energie-Gemeinschaften (EEGs) und Bürger</w:t>
      </w:r>
      <w:r w:rsidR="00B261CA">
        <w:t>e</w:t>
      </w:r>
      <w:r>
        <w:t xml:space="preserve">nergiegemeinschaften (BEGs) unterschieden. Erstere werden in diesem Artikel näher beleuchtet, da hierfür </w:t>
      </w:r>
      <w:r w:rsidR="00A176C2">
        <w:t>– neben anderen finanziellen Vorteilen wie einem Entfall der E</w:t>
      </w:r>
      <w:r w:rsidR="00B261CA">
        <w:t>lektrizitätsa</w:t>
      </w:r>
      <w:r w:rsidR="00A176C2">
        <w:t xml:space="preserve">bgabe sowie des Erneuerbaren-Förderbeitrags </w:t>
      </w:r>
      <w:r w:rsidR="00B261CA">
        <w:t xml:space="preserve">– </w:t>
      </w:r>
      <w:r>
        <w:t>Netztarifreduktionen für Energie</w:t>
      </w:r>
      <w:r w:rsidR="00A176C2">
        <w:t>flüsse</w:t>
      </w:r>
      <w:r w:rsidR="00B261CA">
        <w:t xml:space="preserve"> innerhalb der Gemeinschaft</w:t>
      </w:r>
      <w:r>
        <w:t xml:space="preserve"> vorgesehen sind und somit aus wirtschaftlicher Sicht diese Energiegemeinschaftsform vermehrte Anwendung finden wird.</w:t>
      </w:r>
    </w:p>
    <w:p w14:paraId="4E7FF8FD" w14:textId="77777777" w:rsidR="000979E0" w:rsidRDefault="000979E0" w:rsidP="000979E0"/>
    <w:p w14:paraId="1E7FEE7C" w14:textId="5CE1176E" w:rsidR="000979E0" w:rsidRDefault="000979E0" w:rsidP="000979E0">
      <w:r>
        <w:t xml:space="preserve">Da die Preisfestsetzung </w:t>
      </w:r>
      <w:r w:rsidR="00A176C2">
        <w:t xml:space="preserve">des </w:t>
      </w:r>
      <w:r>
        <w:t>reinen Energiepreis</w:t>
      </w:r>
      <w:r w:rsidR="00A176C2">
        <w:t>es</w:t>
      </w:r>
      <w:r>
        <w:t xml:space="preserve"> </w:t>
      </w:r>
      <w:r w:rsidR="00A176C2">
        <w:t xml:space="preserve">für </w:t>
      </w:r>
      <w:r>
        <w:t>innerhalb der EEG gehandelten Strom der Gemeinschaft selbst überl</w:t>
      </w:r>
      <w:r w:rsidR="00A176C2">
        <w:t>assen ist</w:t>
      </w:r>
      <w:r>
        <w:t>, gilt es abzuschätzen, welche Preismodelle am profitabelsten für alle Teilnehmenden sind. Hierbei muss berücksichtigt werden, dass die freie Stromlieferantenwahl aller EEG-Teilnehmenden zu jeder Zeit gewährlei</w:t>
      </w:r>
      <w:r w:rsidR="00B261CA">
        <w:t>s</w:t>
      </w:r>
      <w:r>
        <w:t>tet ist.</w:t>
      </w:r>
    </w:p>
    <w:p w14:paraId="2CECC618" w14:textId="77777777" w:rsidR="005E4D4F" w:rsidRPr="005E4D4F" w:rsidRDefault="005E4D4F" w:rsidP="00227125"/>
    <w:p w14:paraId="12783F4B" w14:textId="77777777" w:rsidR="005E4D4F" w:rsidRPr="005E4D4F" w:rsidRDefault="005E4D4F" w:rsidP="005E4D4F">
      <w:pPr>
        <w:pStyle w:val="Ueberschrift"/>
      </w:pPr>
      <w:r w:rsidRPr="005E4D4F">
        <w:t>Methodische Vorgangsweise</w:t>
      </w:r>
    </w:p>
    <w:p w14:paraId="4334E22F" w14:textId="275C697F" w:rsidR="00A725A6" w:rsidRDefault="00F26AD6" w:rsidP="00F26AD6">
      <w:bookmarkStart w:id="1" w:name="_Hlk73010024"/>
      <w:bookmarkStart w:id="2" w:name="_Hlk73010489"/>
      <w:r>
        <w:t xml:space="preserve">Um Aussagen über die Profitabilität von Stromhandel innerhalb einer EEG mit verschiedenen </w:t>
      </w:r>
      <w:proofErr w:type="spellStart"/>
      <w:r>
        <w:t>Bepreisungsmethoden</w:t>
      </w:r>
      <w:proofErr w:type="spellEnd"/>
      <w:r>
        <w:t xml:space="preserve"> zu treffen, wurde ein Optimierungsmodell entwickelt. Dieses bildet eine repräsentative </w:t>
      </w:r>
      <w:r w:rsidR="00C46A5E">
        <w:t>P</w:t>
      </w:r>
      <w:r>
        <w:t>hotovoltaik-</w:t>
      </w:r>
      <w:r w:rsidR="00A176C2">
        <w:t xml:space="preserve">basierte </w:t>
      </w:r>
      <w:r>
        <w:t xml:space="preserve">Energiegemeinschaft </w:t>
      </w:r>
      <w:r w:rsidR="004A181C">
        <w:t xml:space="preserve">mit 15 Einfamilienhäusern </w:t>
      </w:r>
      <w:r w:rsidR="00A725A6">
        <w:t xml:space="preserve">im Niederspannungsnetz </w:t>
      </w:r>
      <w:r>
        <w:t xml:space="preserve">ab, welche den selbst erzeugten Photovoltaikstrom mittels </w:t>
      </w:r>
      <w:proofErr w:type="spellStart"/>
      <w:r>
        <w:t>peer-to-peer</w:t>
      </w:r>
      <w:proofErr w:type="spellEnd"/>
      <w:r>
        <w:t xml:space="preserve"> (P2</w:t>
      </w:r>
      <w:proofErr w:type="gramStart"/>
      <w:r>
        <w:t>P)-</w:t>
      </w:r>
      <w:proofErr w:type="gramEnd"/>
      <w:r>
        <w:t xml:space="preserve">Handel untereinander austauschen kann. Das Modell optimiert dabei nach minimalen Kosten der gesamten EEG, wodurch ein wirtschaftliches Optimum </w:t>
      </w:r>
      <w:r w:rsidR="00F92D78">
        <w:t xml:space="preserve">für die gesamte Energiegemeinschaft </w:t>
      </w:r>
      <w:r>
        <w:t xml:space="preserve">erreicht werden kann. </w:t>
      </w:r>
      <w:r w:rsidR="00B261CA">
        <w:t>Hierbei</w:t>
      </w:r>
      <w:r>
        <w:t xml:space="preserve"> </w:t>
      </w:r>
      <w:r w:rsidR="00A725A6">
        <w:t>können</w:t>
      </w:r>
      <w:r>
        <w:t xml:space="preserve"> sowohl bestehende als auch neu errichtete Photovoltaikanlagen der Gemeinschafts-Teilnehmenden berücksichtigt</w:t>
      </w:r>
      <w:r w:rsidR="00A725A6">
        <w:t xml:space="preserve"> werden</w:t>
      </w:r>
      <w:r>
        <w:t>.</w:t>
      </w:r>
      <w:r w:rsidR="00F92D78">
        <w:t xml:space="preserve"> </w:t>
      </w:r>
      <w:r w:rsidR="00A725A6">
        <w:fldChar w:fldCharType="begin"/>
      </w:r>
      <w:r w:rsidR="00A725A6">
        <w:instrText xml:space="preserve"> REF _Ref81815302 \h </w:instrText>
      </w:r>
      <w:r w:rsidR="00A725A6">
        <w:fldChar w:fldCharType="separate"/>
      </w:r>
      <w:r w:rsidR="00A725A6">
        <w:t xml:space="preserve">Abbildung </w:t>
      </w:r>
      <w:r w:rsidR="00A725A6">
        <w:rPr>
          <w:noProof/>
        </w:rPr>
        <w:t>1</w:t>
      </w:r>
      <w:r w:rsidR="00A725A6">
        <w:fldChar w:fldCharType="end"/>
      </w:r>
      <w:r w:rsidR="00A725A6">
        <w:t xml:space="preserve"> stellt die Energiegemeinschafts-Teilnehmenden (C1 bis C15) und deren jährliche Energieverbräuche, als auch etwaige installierte PV-Kapazitäten dar.</w:t>
      </w:r>
    </w:p>
    <w:p w14:paraId="590996F8" w14:textId="5FF19B42" w:rsidR="00A725A6" w:rsidRDefault="00A725A6" w:rsidP="00F26AD6"/>
    <w:p w14:paraId="52DE13C8" w14:textId="77777777" w:rsidR="00A725A6" w:rsidRDefault="00A725A6" w:rsidP="00F26AD6"/>
    <w:p w14:paraId="03E9A711" w14:textId="77777777" w:rsidR="00A725A6" w:rsidRDefault="00A725A6" w:rsidP="00A725A6">
      <w:pPr>
        <w:keepNext/>
      </w:pPr>
      <w:r>
        <w:rPr>
          <w:noProof/>
        </w:rPr>
        <w:drawing>
          <wp:inline distT="0" distB="0" distL="0" distR="0" wp14:anchorId="77476ABC" wp14:editId="0F87520B">
            <wp:extent cx="5695950" cy="20541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245" cy="2064705"/>
                    </a:xfrm>
                    <a:prstGeom prst="rect">
                      <a:avLst/>
                    </a:prstGeom>
                    <a:noFill/>
                  </pic:spPr>
                </pic:pic>
              </a:graphicData>
            </a:graphic>
          </wp:inline>
        </w:drawing>
      </w:r>
    </w:p>
    <w:p w14:paraId="40FF9232" w14:textId="1F26F3F6" w:rsidR="00A725A6" w:rsidRDefault="00A725A6" w:rsidP="00A725A6">
      <w:pPr>
        <w:pStyle w:val="Beschriftung"/>
      </w:pPr>
      <w:bookmarkStart w:id="3" w:name="_Ref81815302"/>
      <w:r>
        <w:t xml:space="preserve">Abbildung </w:t>
      </w:r>
      <w:fldSimple w:instr=" SEQ Abbildung \* ARABIC ">
        <w:r>
          <w:rPr>
            <w:noProof/>
          </w:rPr>
          <w:t>1</w:t>
        </w:r>
      </w:fldSimple>
      <w:bookmarkEnd w:id="3"/>
      <w:r>
        <w:t>: Jährliche Energieverbräuche (kWh/a) und installierte PV-Kapazitäten (kW) der Energiegemeinschafts-Teilnehmenden</w:t>
      </w:r>
    </w:p>
    <w:p w14:paraId="470AF44A" w14:textId="77777777" w:rsidR="00A725A6" w:rsidRDefault="00A725A6" w:rsidP="00F26AD6"/>
    <w:p w14:paraId="2A20D90B" w14:textId="13F8B380" w:rsidR="00F26AD6" w:rsidRDefault="00F92D78" w:rsidP="00F26AD6">
      <w:r>
        <w:t>Formel (1) zeigt die Optimierungsfunktion nach minimalen Energiekosten der gesamten Energiegemeinschaft.</w:t>
      </w:r>
    </w:p>
    <w:p w14:paraId="1CF6AAFD" w14:textId="3E0A7963" w:rsidR="00F92D78" w:rsidRDefault="00F92D78" w:rsidP="00F26AD6"/>
    <w:p w14:paraId="32DF9DC3" w14:textId="42293557" w:rsidR="00F92D78" w:rsidRPr="00A725A6" w:rsidRDefault="00A725A6" w:rsidP="00F26AD6">
      <w:pPr>
        <w:rPr>
          <w:iCs/>
        </w:rPr>
      </w:pPr>
      <m:oMathPara>
        <m:oMath>
          <m:func>
            <m:funcPr>
              <m:ctrlPr>
                <w:rPr>
                  <w:rFonts w:ascii="Cambria Math" w:hAnsi="Cambria Math"/>
                  <w:i/>
                  <w:iCs/>
                  <w:sz w:val="18"/>
                  <w:szCs w:val="18"/>
                </w:rPr>
              </m:ctrlPr>
            </m:funcPr>
            <m:fName>
              <m:r>
                <m:rPr>
                  <m:sty m:val="p"/>
                </m:rPr>
                <w:rPr>
                  <w:rFonts w:ascii="Cambria Math" w:hAnsi="Cambria Math"/>
                  <w:sz w:val="18"/>
                  <w:szCs w:val="18"/>
                </w:rPr>
                <m:t>min</m:t>
              </m:r>
            </m:fName>
            <m:e>
              <m:sSub>
                <m:sSubPr>
                  <m:ctrlPr>
                    <w:rPr>
                      <w:rFonts w:ascii="Cambria Math" w:hAnsi="Cambria Math"/>
                      <w:i/>
                      <w:iCs/>
                      <w:sz w:val="18"/>
                      <w:szCs w:val="18"/>
                    </w:rPr>
                  </m:ctrlPr>
                </m:sSubPr>
                <m:e>
                  <m:r>
                    <w:rPr>
                      <w:rFonts w:ascii="Cambria Math" w:hAnsi="Cambria Math"/>
                      <w:sz w:val="18"/>
                      <w:szCs w:val="18"/>
                    </w:rPr>
                    <m:t>C</m:t>
                  </m:r>
                </m:e>
                <m:sub>
                  <m:r>
                    <w:rPr>
                      <w:rFonts w:ascii="Cambria Math" w:hAnsi="Cambria Math"/>
                      <w:sz w:val="18"/>
                      <w:szCs w:val="18"/>
                    </w:rPr>
                    <m:t>total</m:t>
                  </m:r>
                </m:sub>
              </m:sSub>
            </m:e>
          </m:func>
          <m:r>
            <w:rPr>
              <w:rFonts w:ascii="Cambria Math" w:hAnsi="Cambria Math"/>
              <w:sz w:val="18"/>
              <w:szCs w:val="18"/>
            </w:rPr>
            <m:t>= Egrid</m:t>
          </m:r>
          <m:d>
            <m:dPr>
              <m:ctrlPr>
                <w:rPr>
                  <w:rFonts w:ascii="Cambria Math" w:hAnsi="Cambria Math"/>
                  <w:i/>
                  <w:iCs/>
                  <w:sz w:val="18"/>
                  <w:szCs w:val="18"/>
                </w:rPr>
              </m:ctrlPr>
            </m:dPr>
            <m:e>
              <m:r>
                <w:rPr>
                  <w:rFonts w:ascii="Cambria Math" w:hAnsi="Cambria Math"/>
                  <w:sz w:val="18"/>
                  <w:szCs w:val="18"/>
                </w:rPr>
                <m:t>t,c</m:t>
              </m:r>
            </m:e>
          </m:d>
          <m:r>
            <w:rPr>
              <w:rFonts w:ascii="Cambria Math" w:hAnsi="Cambria Math"/>
              <w:sz w:val="18"/>
              <w:szCs w:val="18"/>
            </w:rPr>
            <m:t>* </m:t>
          </m:r>
          <m:sSub>
            <m:sSubPr>
              <m:ctrlPr>
                <w:rPr>
                  <w:rFonts w:ascii="Cambria Math" w:hAnsi="Cambria Math"/>
                  <w:i/>
                  <w:iCs/>
                  <w:sz w:val="18"/>
                  <w:szCs w:val="18"/>
                </w:rPr>
              </m:ctrlPr>
            </m:sSubPr>
            <m:e>
              <m:r>
                <w:rPr>
                  <w:rFonts w:ascii="Cambria Math" w:hAnsi="Cambria Math"/>
                  <w:sz w:val="18"/>
                  <w:szCs w:val="18"/>
                </w:rPr>
                <m:t>p</m:t>
              </m:r>
            </m:e>
            <m:sub>
              <m:r>
                <w:rPr>
                  <w:rFonts w:ascii="Cambria Math" w:hAnsi="Cambria Math"/>
                  <w:sz w:val="18"/>
                  <w:szCs w:val="18"/>
                </w:rPr>
                <m:t>gri</m:t>
              </m:r>
              <m:sSub>
                <m:sSubPr>
                  <m:ctrlPr>
                    <w:rPr>
                      <w:rFonts w:ascii="Cambria Math" w:hAnsi="Cambria Math"/>
                      <w:i/>
                      <w:iCs/>
                      <w:sz w:val="18"/>
                      <w:szCs w:val="18"/>
                    </w:rPr>
                  </m:ctrlPr>
                </m:sSubPr>
                <m:e>
                  <m:r>
                    <w:rPr>
                      <w:rFonts w:ascii="Cambria Math" w:hAnsi="Cambria Math"/>
                      <w:sz w:val="18"/>
                      <w:szCs w:val="18"/>
                    </w:rPr>
                    <m:t>d</m:t>
                  </m:r>
                </m:e>
                <m:sub>
                  <m:r>
                    <w:rPr>
                      <w:rFonts w:ascii="Cambria Math" w:hAnsi="Cambria Math"/>
                      <w:sz w:val="18"/>
                      <w:szCs w:val="18"/>
                    </w:rPr>
                    <m:t>energy</m:t>
                  </m:r>
                </m:sub>
              </m:sSub>
              <m:r>
                <w:rPr>
                  <w:rFonts w:ascii="Cambria Math" w:hAnsi="Cambria Math"/>
                  <w:sz w:val="18"/>
                  <w:szCs w:val="18"/>
                </w:rPr>
                <m:t> </m:t>
              </m:r>
            </m:sub>
          </m:sSub>
          <m:r>
            <w:rPr>
              <w:rFonts w:ascii="Cambria Math" w:hAnsi="Cambria Math"/>
              <w:sz w:val="18"/>
              <w:szCs w:val="18"/>
            </w:rPr>
            <m:t>+avg</m:t>
          </m:r>
          <m:d>
            <m:dPr>
              <m:ctrlPr>
                <w:rPr>
                  <w:rFonts w:ascii="Cambria Math" w:hAnsi="Cambria Math"/>
                  <w:i/>
                  <w:iCs/>
                  <w:sz w:val="18"/>
                  <w:szCs w:val="18"/>
                </w:rPr>
              </m:ctrlPr>
            </m:dPr>
            <m:e>
              <m:func>
                <m:funcPr>
                  <m:ctrlPr>
                    <w:rPr>
                      <w:rFonts w:ascii="Cambria Math" w:hAnsi="Cambria Math"/>
                      <w:iCs/>
                      <w:sz w:val="18"/>
                      <w:szCs w:val="18"/>
                    </w:rPr>
                  </m:ctrlPr>
                </m:funcPr>
                <m:fName>
                  <m:r>
                    <m:rPr>
                      <m:sty m:val="p"/>
                    </m:rPr>
                    <w:rPr>
                      <w:rFonts w:ascii="Cambria Math" w:hAnsi="Cambria Math"/>
                      <w:sz w:val="18"/>
                      <w:szCs w:val="18"/>
                    </w:rPr>
                    <m:t>max</m:t>
                  </m:r>
                  <m:ctrlPr>
                    <w:rPr>
                      <w:rFonts w:ascii="Cambria Math" w:hAnsi="Cambria Math"/>
                      <w:i/>
                      <w:iCs/>
                      <w:sz w:val="18"/>
                      <w:szCs w:val="18"/>
                    </w:rPr>
                  </m:ctrlPr>
                </m:fName>
                <m:e>
                  <m:d>
                    <m:dPr>
                      <m:ctrlPr>
                        <w:rPr>
                          <w:rFonts w:ascii="Cambria Math" w:hAnsi="Cambria Math"/>
                          <w:i/>
                          <w:iCs/>
                          <w:sz w:val="18"/>
                          <w:szCs w:val="18"/>
                        </w:rPr>
                      </m:ctrlPr>
                    </m:dPr>
                    <m:e>
                      <m:r>
                        <w:rPr>
                          <w:rFonts w:ascii="Cambria Math" w:hAnsi="Cambria Math"/>
                          <w:sz w:val="18"/>
                          <w:szCs w:val="18"/>
                        </w:rPr>
                        <m:t>Egri</m:t>
                      </m:r>
                      <m:sSub>
                        <m:sSubPr>
                          <m:ctrlPr>
                            <w:rPr>
                              <w:rFonts w:ascii="Cambria Math" w:hAnsi="Cambria Math"/>
                              <w:i/>
                              <w:iCs/>
                              <w:sz w:val="18"/>
                              <w:szCs w:val="18"/>
                            </w:rPr>
                          </m:ctrlPr>
                        </m:sSubPr>
                        <m:e>
                          <m:r>
                            <w:rPr>
                              <w:rFonts w:ascii="Cambria Math" w:hAnsi="Cambria Math"/>
                              <w:sz w:val="18"/>
                              <w:szCs w:val="18"/>
                            </w:rPr>
                            <m:t>d</m:t>
                          </m:r>
                        </m:e>
                        <m:sub>
                          <m:r>
                            <w:rPr>
                              <w:rFonts w:ascii="Cambria Math" w:hAnsi="Cambria Math"/>
                              <w:sz w:val="18"/>
                              <w:szCs w:val="18"/>
                            </w:rPr>
                            <m:t>monthly</m:t>
                          </m:r>
                        </m:sub>
                      </m:sSub>
                      <m:d>
                        <m:dPr>
                          <m:ctrlPr>
                            <w:rPr>
                              <w:rFonts w:ascii="Cambria Math" w:hAnsi="Cambria Math"/>
                              <w:i/>
                              <w:iCs/>
                              <w:sz w:val="18"/>
                              <w:szCs w:val="18"/>
                            </w:rPr>
                          </m:ctrlPr>
                        </m:dPr>
                        <m:e>
                          <m:r>
                            <w:rPr>
                              <w:rFonts w:ascii="Cambria Math" w:hAnsi="Cambria Math"/>
                              <w:sz w:val="18"/>
                              <w:szCs w:val="18"/>
                            </w:rPr>
                            <m:t>c</m:t>
                          </m:r>
                        </m:e>
                      </m:d>
                    </m:e>
                  </m:d>
                </m:e>
              </m:func>
            </m:e>
          </m:d>
          <m:r>
            <w:rPr>
              <w:rFonts w:ascii="Cambria Math" w:hAnsi="Cambria Math"/>
              <w:sz w:val="18"/>
              <w:szCs w:val="18"/>
            </w:rPr>
            <m:t>* </m:t>
          </m:r>
          <m:sSub>
            <m:sSubPr>
              <m:ctrlPr>
                <w:rPr>
                  <w:rFonts w:ascii="Cambria Math" w:hAnsi="Cambria Math"/>
                  <w:i/>
                  <w:iCs/>
                  <w:sz w:val="18"/>
                  <w:szCs w:val="18"/>
                </w:rPr>
              </m:ctrlPr>
            </m:sSubPr>
            <m:e>
              <m:r>
                <w:rPr>
                  <w:rFonts w:ascii="Cambria Math" w:hAnsi="Cambria Math"/>
                  <w:sz w:val="18"/>
                  <w:szCs w:val="18"/>
                </w:rPr>
                <m:t>p</m:t>
              </m:r>
            </m:e>
            <m:sub>
              <m:r>
                <w:rPr>
                  <w:rFonts w:ascii="Cambria Math" w:hAnsi="Cambria Math"/>
                  <w:sz w:val="18"/>
                  <w:szCs w:val="18"/>
                </w:rPr>
                <m:t>gri</m:t>
              </m:r>
              <m:sSub>
                <m:sSubPr>
                  <m:ctrlPr>
                    <w:rPr>
                      <w:rFonts w:ascii="Cambria Math" w:hAnsi="Cambria Math"/>
                      <w:i/>
                      <w:iCs/>
                      <w:sz w:val="18"/>
                      <w:szCs w:val="18"/>
                    </w:rPr>
                  </m:ctrlPr>
                </m:sSubPr>
                <m:e>
                  <m:r>
                    <w:rPr>
                      <w:rFonts w:ascii="Cambria Math" w:hAnsi="Cambria Math"/>
                      <w:sz w:val="18"/>
                      <w:szCs w:val="18"/>
                    </w:rPr>
                    <m:t>d</m:t>
                  </m:r>
                </m:e>
                <m:sub>
                  <m:r>
                    <w:rPr>
                      <w:rFonts w:ascii="Cambria Math" w:hAnsi="Cambria Math"/>
                      <w:sz w:val="18"/>
                      <w:szCs w:val="18"/>
                    </w:rPr>
                    <m:t>e</m:t>
                  </m:r>
                  <m:r>
                    <w:rPr>
                      <w:rFonts w:ascii="Cambria Math" w:hAnsi="Cambria Math"/>
                      <w:sz w:val="18"/>
                      <w:szCs w:val="18"/>
                    </w:rPr>
                    <m:t>power</m:t>
                  </m:r>
                </m:sub>
              </m:sSub>
              <m:r>
                <w:rPr>
                  <w:rFonts w:ascii="Cambria Math" w:hAnsi="Cambria Math"/>
                  <w:sz w:val="18"/>
                  <w:szCs w:val="18"/>
                </w:rPr>
                <m:t> </m:t>
              </m:r>
            </m:sub>
          </m:sSub>
          <m:r>
            <w:rPr>
              <w:rFonts w:ascii="Cambria Math" w:hAnsi="Cambria Math"/>
              <w:sz w:val="18"/>
              <w:szCs w:val="18"/>
            </w:rPr>
            <m:t>-</m:t>
          </m:r>
          <m:r>
            <w:rPr>
              <w:rFonts w:ascii="Cambria Math" w:hAnsi="Cambria Math"/>
              <w:sz w:val="18"/>
              <w:szCs w:val="18"/>
            </w:rPr>
            <m:t>Epv2grid</m:t>
          </m:r>
          <m:d>
            <m:dPr>
              <m:ctrlPr>
                <w:rPr>
                  <w:rFonts w:ascii="Cambria Math" w:hAnsi="Cambria Math"/>
                  <w:i/>
                  <w:iCs/>
                  <w:sz w:val="18"/>
                  <w:szCs w:val="18"/>
                </w:rPr>
              </m:ctrlPr>
            </m:dPr>
            <m:e>
              <m:r>
                <w:rPr>
                  <w:rFonts w:ascii="Cambria Math" w:hAnsi="Cambria Math"/>
                  <w:sz w:val="18"/>
                  <w:szCs w:val="18"/>
                </w:rPr>
                <m:t>t,c</m:t>
              </m:r>
            </m:e>
          </m:d>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p</m:t>
              </m:r>
            </m:e>
            <m:sub>
              <m:r>
                <w:rPr>
                  <w:rFonts w:ascii="Cambria Math" w:hAnsi="Cambria Math"/>
                  <w:sz w:val="18"/>
                  <w:szCs w:val="18"/>
                </w:rPr>
                <m:t>fit</m:t>
              </m:r>
            </m:sub>
          </m:sSub>
          <m:r>
            <w:rPr>
              <w:rFonts w:ascii="Cambria Math" w:hAnsi="Cambria Math"/>
              <w:sz w:val="18"/>
              <w:szCs w:val="18"/>
            </w:rPr>
            <m:t> </m:t>
          </m:r>
          <m:r>
            <w:rPr>
              <w:rFonts w:ascii="Cambria Math" w:hAnsi="Cambria Math"/>
              <w:sz w:val="18"/>
              <w:szCs w:val="18"/>
            </w:rPr>
            <m:t xml:space="preserve">+ </m:t>
          </m:r>
          <m:r>
            <w:rPr>
              <w:rFonts w:ascii="Cambria Math" w:hAnsi="Cambria Math"/>
              <w:sz w:val="18"/>
              <w:szCs w:val="18"/>
            </w:rPr>
            <w:br/>
          </m:r>
        </m:oMath>
      </m:oMathPara>
      <m:oMath>
        <m:r>
          <w:rPr>
            <w:rFonts w:ascii="Cambria Math" w:hAnsi="Cambria Math"/>
            <w:sz w:val="18"/>
            <w:szCs w:val="18"/>
          </w:rPr>
          <m:t xml:space="preserve">                                </m:t>
        </m:r>
        <m:nary>
          <m:naryPr>
            <m:chr m:val="∑"/>
            <m:ctrlPr>
              <w:rPr>
                <w:rFonts w:ascii="Cambria Math" w:hAnsi="Cambria Math"/>
                <w:i/>
                <w:iCs/>
                <w:sz w:val="18"/>
                <w:szCs w:val="18"/>
              </w:rPr>
            </m:ctrlPr>
          </m:naryPr>
          <m:sub>
            <m:r>
              <w:rPr>
                <w:rFonts w:ascii="Cambria Math" w:hAnsi="Cambria Math"/>
                <w:sz w:val="18"/>
                <w:szCs w:val="18"/>
              </w:rPr>
              <m:t>k≠c</m:t>
            </m:r>
          </m:sub>
          <m:sup/>
          <m:e>
            <m:r>
              <w:rPr>
                <w:rFonts w:ascii="Cambria Math" w:hAnsi="Cambria Math"/>
                <w:sz w:val="18"/>
                <w:szCs w:val="18"/>
              </w:rPr>
              <m:t>(Epvtrade</m:t>
            </m:r>
            <m:d>
              <m:dPr>
                <m:ctrlPr>
                  <w:rPr>
                    <w:rFonts w:ascii="Cambria Math" w:hAnsi="Cambria Math"/>
                    <w:i/>
                    <w:iCs/>
                    <w:sz w:val="18"/>
                    <w:szCs w:val="18"/>
                  </w:rPr>
                </m:ctrlPr>
              </m:dPr>
              <m:e>
                <m:r>
                  <w:rPr>
                    <w:rFonts w:ascii="Cambria Math" w:hAnsi="Cambria Math"/>
                    <w:sz w:val="18"/>
                    <w:szCs w:val="18"/>
                  </w:rPr>
                  <m:t>t,k,c</m:t>
                </m:r>
              </m:e>
            </m:d>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p</m:t>
                </m:r>
              </m:e>
              <m:sub>
                <m:r>
                  <w:rPr>
                    <w:rFonts w:ascii="Cambria Math" w:hAnsi="Cambria Math"/>
                    <w:sz w:val="18"/>
                    <w:szCs w:val="18"/>
                  </w:rPr>
                  <m:t>trad</m:t>
                </m:r>
                <m:sSub>
                  <m:sSubPr>
                    <m:ctrlPr>
                      <w:rPr>
                        <w:rFonts w:ascii="Cambria Math" w:hAnsi="Cambria Math"/>
                        <w:i/>
                        <w:iCs/>
                        <w:sz w:val="18"/>
                        <w:szCs w:val="18"/>
                      </w:rPr>
                    </m:ctrlPr>
                  </m:sSubPr>
                  <m:e>
                    <m:r>
                      <w:rPr>
                        <w:rFonts w:ascii="Cambria Math" w:hAnsi="Cambria Math"/>
                        <w:sz w:val="18"/>
                        <w:szCs w:val="18"/>
                      </w:rPr>
                      <m:t>e</m:t>
                    </m:r>
                  </m:e>
                  <m:sub>
                    <m:r>
                      <w:rPr>
                        <w:rFonts w:ascii="Cambria Math" w:hAnsi="Cambria Math"/>
                        <w:sz w:val="18"/>
                        <w:szCs w:val="18"/>
                      </w:rPr>
                      <m:t>buy</m:t>
                    </m:r>
                  </m:sub>
                </m:sSub>
              </m:sub>
            </m:sSub>
            <m:r>
              <w:rPr>
                <w:rFonts w:ascii="Cambria Math" w:hAnsi="Cambria Math"/>
                <w:sz w:val="18"/>
                <w:szCs w:val="18"/>
              </w:rPr>
              <m:t>-Epvtrade</m:t>
            </m:r>
            <m:d>
              <m:dPr>
                <m:ctrlPr>
                  <w:rPr>
                    <w:rFonts w:ascii="Cambria Math" w:hAnsi="Cambria Math"/>
                    <w:i/>
                    <w:iCs/>
                    <w:sz w:val="18"/>
                    <w:szCs w:val="18"/>
                  </w:rPr>
                </m:ctrlPr>
              </m:dPr>
              <m:e>
                <m:r>
                  <w:rPr>
                    <w:rFonts w:ascii="Cambria Math" w:hAnsi="Cambria Math"/>
                    <w:sz w:val="18"/>
                    <w:szCs w:val="18"/>
                  </w:rPr>
                  <m:t>t,c,k</m:t>
                </m:r>
              </m:e>
            </m:d>
            <m:r>
              <w:rPr>
                <w:rFonts w:ascii="Cambria Math" w:hAnsi="Cambria Math"/>
                <w:sz w:val="18"/>
                <w:szCs w:val="18"/>
              </w:rPr>
              <m:t>*</m:t>
            </m:r>
            <m:sSub>
              <m:sSubPr>
                <m:ctrlPr>
                  <w:rPr>
                    <w:rFonts w:ascii="Cambria Math" w:hAnsi="Cambria Math"/>
                    <w:i/>
                    <w:iCs/>
                    <w:sz w:val="18"/>
                    <w:szCs w:val="18"/>
                  </w:rPr>
                </m:ctrlPr>
              </m:sSubPr>
              <m:e>
                <m:r>
                  <w:rPr>
                    <w:rFonts w:ascii="Cambria Math" w:hAnsi="Cambria Math"/>
                    <w:sz w:val="18"/>
                    <w:szCs w:val="18"/>
                  </w:rPr>
                  <m:t>p</m:t>
                </m:r>
              </m:e>
              <m:sub>
                <m:r>
                  <w:rPr>
                    <w:rFonts w:ascii="Cambria Math" w:hAnsi="Cambria Math"/>
                    <w:sz w:val="18"/>
                    <w:szCs w:val="18"/>
                  </w:rPr>
                  <m:t>trad</m:t>
                </m:r>
                <m:sSub>
                  <m:sSubPr>
                    <m:ctrlPr>
                      <w:rPr>
                        <w:rFonts w:ascii="Cambria Math" w:hAnsi="Cambria Math"/>
                        <w:i/>
                        <w:iCs/>
                        <w:sz w:val="18"/>
                        <w:szCs w:val="18"/>
                      </w:rPr>
                    </m:ctrlPr>
                  </m:sSubPr>
                  <m:e>
                    <m:r>
                      <w:rPr>
                        <w:rFonts w:ascii="Cambria Math" w:hAnsi="Cambria Math"/>
                        <w:sz w:val="18"/>
                        <w:szCs w:val="18"/>
                      </w:rPr>
                      <m:t>e</m:t>
                    </m:r>
                  </m:e>
                  <m:sub>
                    <m:r>
                      <w:rPr>
                        <w:rFonts w:ascii="Cambria Math" w:hAnsi="Cambria Math"/>
                        <w:sz w:val="18"/>
                        <w:szCs w:val="18"/>
                      </w:rPr>
                      <m:t>sell</m:t>
                    </m:r>
                  </m:sub>
                </m:sSub>
              </m:sub>
            </m:sSub>
            <m:r>
              <w:rPr>
                <w:rFonts w:ascii="Cambria Math" w:hAnsi="Cambria Math"/>
                <w:sz w:val="18"/>
                <w:szCs w:val="18"/>
              </w:rPr>
              <m:t>)</m:t>
            </m:r>
          </m:e>
        </m:nary>
      </m:oMath>
      <w:r w:rsidR="00F92D78">
        <w:t xml:space="preserve"> </w:t>
      </w:r>
    </w:p>
    <w:p w14:paraId="493348B2" w14:textId="77777777" w:rsidR="00F26AD6" w:rsidRDefault="00F26AD6" w:rsidP="00F26AD6"/>
    <w:p w14:paraId="4F78BC5D" w14:textId="77777777" w:rsidR="00F26AD6" w:rsidRDefault="00F26AD6" w:rsidP="00F26AD6">
      <w:r>
        <w:t>Für die Bepreisung des gehandelten Photovoltaikstroms werden zwei Szenarien verglichen, wobei die Wirtschaftlichkeit anhand der Kostenersparnis der gesamten EEG bestimmt wird:</w:t>
      </w:r>
    </w:p>
    <w:p w14:paraId="65DF249C" w14:textId="77777777" w:rsidR="00F26AD6" w:rsidRDefault="00F26AD6" w:rsidP="00F26AD6"/>
    <w:p w14:paraId="3C8C52EF" w14:textId="68CFDD4F" w:rsidR="00F26AD6" w:rsidRDefault="00F26AD6" w:rsidP="00F26AD6">
      <w:pPr>
        <w:pStyle w:val="Listenabsatz"/>
        <w:numPr>
          <w:ilvl w:val="0"/>
          <w:numId w:val="5"/>
        </w:numPr>
      </w:pPr>
      <w:r w:rsidRPr="002D6E34">
        <w:rPr>
          <w:b/>
          <w:bCs/>
        </w:rPr>
        <w:t>Preismodell 1:</w:t>
      </w:r>
      <w:r>
        <w:t xml:space="preserve"> Es wird angenommen, dass die EEG sich für einen einheitlichen Energiepreis je Kilowattstunde gehandelter Photovoltaikenergie entscheidet. </w:t>
      </w:r>
      <w:r w:rsidR="00A725A6">
        <w:t xml:space="preserve">Hierbei wird ein Preis für den PV-Strom-Einkauf und ein Preis für den PV-Strom-Abkauf definiert. </w:t>
      </w:r>
      <w:r>
        <w:t xml:space="preserve">Ebenso verfügt die Gemeinschaft nur über einen Stromlieferanten, der den Reststrombedarf </w:t>
      </w:r>
      <w:r w:rsidR="00A176C2">
        <w:t xml:space="preserve">aller Teilnehmenden </w:t>
      </w:r>
      <w:r>
        <w:t xml:space="preserve">deckt und den nicht innerhalb der EEG verbrauchten Photovoltaikstrom abkauft. Dieses Preismodell stellt </w:t>
      </w:r>
      <w:r w:rsidR="00A176C2">
        <w:t xml:space="preserve">eine </w:t>
      </w:r>
      <w:r>
        <w:t xml:space="preserve">einfache Art einer Energiegemeinschaftsimplementierung dar und weist </w:t>
      </w:r>
      <w:r w:rsidR="00A176C2">
        <w:t>daher einen überschaubaren</w:t>
      </w:r>
      <w:r>
        <w:t xml:space="preserve"> Komplexität</w:t>
      </w:r>
      <w:r w:rsidR="00A176C2">
        <w:t>sgrad</w:t>
      </w:r>
      <w:r>
        <w:t xml:space="preserve"> hinsichtlich der Abrechnung auf.</w:t>
      </w:r>
    </w:p>
    <w:p w14:paraId="169D9BCF" w14:textId="2027536F" w:rsidR="00DC3CE4" w:rsidRDefault="00F26AD6" w:rsidP="00DC3CE4">
      <w:pPr>
        <w:pStyle w:val="Listenabsatz"/>
        <w:numPr>
          <w:ilvl w:val="0"/>
          <w:numId w:val="5"/>
        </w:numPr>
      </w:pPr>
      <w:r w:rsidRPr="002D6E34">
        <w:rPr>
          <w:b/>
          <w:bCs/>
        </w:rPr>
        <w:t>Preismodell 2:</w:t>
      </w:r>
      <w:r>
        <w:t xml:space="preserve"> Um realistische Gegebenheiten </w:t>
      </w:r>
      <w:r w:rsidR="004F7D7F">
        <w:t>bezüglich</w:t>
      </w:r>
      <w:r>
        <w:t>. Stromlieferverträgen abzubilden, werden in einem weiteren Schritt differenzierte Netzstrompreise je EEG-Teilnehmer*in angenommen.</w:t>
      </w:r>
      <w:r w:rsidR="002367FD">
        <w:t xml:space="preserve"> </w:t>
      </w:r>
      <w:r w:rsidR="00DC3CE4">
        <w:t>D</w:t>
      </w:r>
      <w:r w:rsidR="002367FD">
        <w:t xml:space="preserve">ie Teilnehmenden </w:t>
      </w:r>
      <w:r w:rsidR="00DC3CE4">
        <w:t xml:space="preserve">müssen sich also </w:t>
      </w:r>
      <w:r w:rsidR="002367FD">
        <w:t>nicht auf ein</w:t>
      </w:r>
      <w:r w:rsidR="00DC3CE4">
        <w:t xml:space="preserve">en </w:t>
      </w:r>
      <w:r w:rsidR="002367FD">
        <w:t xml:space="preserve">Reststromlieferanten </w:t>
      </w:r>
      <w:r w:rsidR="009E70E9">
        <w:t>und denselben</w:t>
      </w:r>
      <w:r w:rsidR="002367FD">
        <w:t xml:space="preserve"> Preis für Strombezug aus dem Netz einigen. Aufgrund unterschiedlicher Netzstrom-Bezugspreise wird es nun nötig, auch den Stromhandelspreis innerhalb der EEG differenzierter zu betrachten</w:t>
      </w:r>
      <w:r w:rsidR="00DC3CE4">
        <w:t xml:space="preserve">. </w:t>
      </w:r>
      <w:r>
        <w:t>Dabei wird beim P2P-Handel berücksichtigt, dass Strom jeweils um 1 ct/kWh günstiger als der Netzstrompreis von anderen EEG-Teilnehmenden gekauft werden kann</w:t>
      </w:r>
      <w:r w:rsidR="00766AD5">
        <w:t>. Dasselbe Prinzip gilt auch für die PV-Überschussstrom</w:t>
      </w:r>
      <w:r w:rsidR="00DC3CE4">
        <w:t>, welcher</w:t>
      </w:r>
      <w:r>
        <w:t xml:space="preserve"> jeweils um 1 ct/kWh teurer als der Netzeinspeisungspreis verkauft werden kann</w:t>
      </w:r>
      <w:r w:rsidR="00F92D78">
        <w:t xml:space="preserve"> („Delta-Tarifierung“)</w:t>
      </w:r>
      <w:r>
        <w:t>.</w:t>
      </w:r>
      <w:bookmarkEnd w:id="1"/>
    </w:p>
    <w:bookmarkEnd w:id="2"/>
    <w:p w14:paraId="02EC5048" w14:textId="1FB87B14" w:rsidR="005E4D4F" w:rsidRDefault="00DC3CE4" w:rsidP="00DC3CE4">
      <w:r w:rsidRPr="005E4D4F">
        <w:t xml:space="preserve"> </w:t>
      </w:r>
    </w:p>
    <w:p w14:paraId="0356791F" w14:textId="77777777" w:rsidR="00F92D78" w:rsidRPr="005E4D4F" w:rsidRDefault="00F92D78" w:rsidP="00DC3CE4"/>
    <w:p w14:paraId="3ED0981F" w14:textId="77777777" w:rsidR="005E4D4F" w:rsidRPr="005E4D4F" w:rsidRDefault="005E4D4F" w:rsidP="005E4D4F">
      <w:pPr>
        <w:pStyle w:val="Ueberschrift"/>
      </w:pPr>
      <w:r w:rsidRPr="005E4D4F">
        <w:t>Ergebnisse und Schlussfolgerungen</w:t>
      </w:r>
    </w:p>
    <w:p w14:paraId="6368BF6B" w14:textId="4C7ECC17" w:rsidR="005E4D4F" w:rsidRDefault="00F424B0" w:rsidP="00227125">
      <w:bookmarkStart w:id="4" w:name="_Hlk72513458"/>
      <w:r>
        <w:t xml:space="preserve">Die Ergebnisse zeigen, dass signifikante Einsparpotenziale durch </w:t>
      </w:r>
      <w:r w:rsidR="00620E7C">
        <w:t>das Ermöglichen</w:t>
      </w:r>
      <w:r>
        <w:t xml:space="preserve"> von P2P-Handel erzielbar sind. Die Wirtschaftlichkeit von EEGs ist für beide Preismodelle gegeben. </w:t>
      </w:r>
      <w:r w:rsidR="00DC3CE4">
        <w:t xml:space="preserve">Die Bepreisung wurde im Preismodell 1 </w:t>
      </w:r>
      <w:r w:rsidR="00A725A6">
        <w:t xml:space="preserve">und 2 </w:t>
      </w:r>
      <w:r w:rsidR="00DC3CE4">
        <w:t xml:space="preserve">so festgesetzt, dass der Verkaufspreis von Photovoltaikstrom innerhalb der EEG höher </w:t>
      </w:r>
      <w:r w:rsidR="00B261CA">
        <w:t>als der</w:t>
      </w:r>
      <w:r w:rsidR="00DC3CE4">
        <w:t xml:space="preserve"> </w:t>
      </w:r>
      <w:proofErr w:type="spellStart"/>
      <w:r w:rsidR="00DC3CE4">
        <w:t>Netzeinspeisetarif</w:t>
      </w:r>
      <w:proofErr w:type="spellEnd"/>
      <w:r w:rsidR="00DC3CE4">
        <w:t xml:space="preserve"> liegt. </w:t>
      </w:r>
      <w:r>
        <w:t xml:space="preserve">Es kann gezeigt werden, dass </w:t>
      </w:r>
      <w:r w:rsidR="00A725A6">
        <w:t xml:space="preserve">für das Preismodell 1 </w:t>
      </w:r>
      <w:r>
        <w:t xml:space="preserve">eine Teilnahme an einer EEG sowohl mit als auch ohne bestehender Photovoltaikanlage rentabel ist. Die Ersparnisse sind jedoch für jene Teilnehmenden deutlich höher, welche eine Photovoltaikanlage besitzen. Zusätzlich führen größer dimensionierte Photovoltaikanlagen zu </w:t>
      </w:r>
      <w:r w:rsidR="003603F8">
        <w:t>zunehmender Profitabilität der Teilnahme.</w:t>
      </w:r>
    </w:p>
    <w:p w14:paraId="44845AC4" w14:textId="77777777" w:rsidR="003603F8" w:rsidRDefault="003603F8" w:rsidP="00227125"/>
    <w:p w14:paraId="2DDC6397" w14:textId="77777777" w:rsidR="00A725A6" w:rsidRDefault="003603F8" w:rsidP="00227125">
      <w:r>
        <w:t xml:space="preserve">Ein Preismodell, welches verschiedene Strompreise je Teilnehmer*in zulässt und abhängig davon </w:t>
      </w:r>
      <w:r w:rsidR="0004579D">
        <w:t>die Preise für innerhalb der Gemeinschaft gehandelten Strom</w:t>
      </w:r>
      <w:r>
        <w:t xml:space="preserve"> festlegt, führt zu </w:t>
      </w:r>
      <w:r w:rsidR="0004579D">
        <w:t>einer Reduktion der</w:t>
      </w:r>
      <w:r w:rsidR="00C46A5E">
        <w:t xml:space="preserve"> </w:t>
      </w:r>
      <w:r w:rsidR="0004579D">
        <w:t>geh</w:t>
      </w:r>
      <w:r>
        <w:t>andel</w:t>
      </w:r>
      <w:r w:rsidR="0004579D">
        <w:t>ten Strommengen</w:t>
      </w:r>
      <w:r>
        <w:t xml:space="preserve"> innerhalb der Gemeinschaft.</w:t>
      </w:r>
      <w:r w:rsidR="00A725A6">
        <w:t xml:space="preserve"> Dabei wird 17% weniger PV-Strom in der EEG mit Preismodell 2 gegenüber Preismodell 1 gehandelt. Ebenso verringern sich die Kostenersparnisse um 22%. </w:t>
      </w:r>
      <w:r>
        <w:t xml:space="preserve">Dies ist darauf zurückzuführen, dass </w:t>
      </w:r>
      <w:r w:rsidR="004B7B5B">
        <w:t xml:space="preserve">gehandelter </w:t>
      </w:r>
      <w:r>
        <w:t xml:space="preserve">Photovoltaikstrom teils ein höheres Preisniveau als die günstigsten Netzstromtarife annehmen kann. </w:t>
      </w:r>
      <w:bookmarkStart w:id="5" w:name="_GoBack"/>
      <w:bookmarkEnd w:id="5"/>
    </w:p>
    <w:p w14:paraId="4E64758D" w14:textId="77777777" w:rsidR="00A725A6" w:rsidRDefault="00A725A6" w:rsidP="00227125"/>
    <w:p w14:paraId="249AE473" w14:textId="7AE56BC6" w:rsidR="003603F8" w:rsidRPr="005E4D4F" w:rsidRDefault="003603F8" w:rsidP="00227125">
      <w:r>
        <w:t xml:space="preserve">Trotz des geringeren Handelsvolumens von Photovoltaikstrom innerhalb einer EEG mit Individuell-Bepreisung, spiegelt diese </w:t>
      </w:r>
      <w:proofErr w:type="spellStart"/>
      <w:r>
        <w:t>Bepreisungs</w:t>
      </w:r>
      <w:proofErr w:type="spellEnd"/>
      <w:r>
        <w:t>- und Abrechnungsvariante eine realistische Möglichkeit dessen wider, wie das Konzept von Energiegemeinschaften in Einklang mit dem Recht auf freie Stromlieferantenwahl gebracht werden kann.</w:t>
      </w:r>
    </w:p>
    <w:bookmarkEnd w:id="4"/>
    <w:p w14:paraId="653AE20C" w14:textId="77777777" w:rsidR="005E4D4F" w:rsidRDefault="005E4D4F" w:rsidP="00227125"/>
    <w:p w14:paraId="1EFED122" w14:textId="71CA19A4" w:rsidR="00803917" w:rsidRDefault="00803917" w:rsidP="00227125"/>
    <w:p w14:paraId="7EF59734" w14:textId="77777777" w:rsidR="002946B8" w:rsidRPr="00803917" w:rsidRDefault="002946B8" w:rsidP="00227125"/>
    <w:p w14:paraId="2EB6A26C" w14:textId="77777777" w:rsidR="005E4D4F" w:rsidRPr="005E4D4F" w:rsidRDefault="005E4D4F" w:rsidP="00A156E4">
      <w:pPr>
        <w:pStyle w:val="Ueberschrift"/>
      </w:pPr>
      <w:bookmarkStart w:id="6" w:name="_Toc26086066"/>
      <w:bookmarkStart w:id="7" w:name="_Toc68418491"/>
      <w:r w:rsidRPr="005E4D4F">
        <w:t>Literatur</w:t>
      </w:r>
      <w:bookmarkEnd w:id="6"/>
      <w:bookmarkEnd w:id="7"/>
    </w:p>
    <w:p w14:paraId="15E8C556" w14:textId="6CFB9D55" w:rsidR="009E70E9" w:rsidRDefault="00483B87" w:rsidP="00A725A6">
      <w:pPr>
        <w:pStyle w:val="Literatur"/>
        <w:jc w:val="left"/>
      </w:pPr>
      <w:r>
        <w:t>[1]</w:t>
      </w:r>
      <w:r>
        <w:tab/>
      </w:r>
      <w:r w:rsidR="009E70E9" w:rsidRPr="009E70E9">
        <w:t>Erneuerbaren-Ausbau-Gesetzespaket</w:t>
      </w:r>
      <w:r w:rsidR="00A725A6">
        <w:t xml:space="preserve">, </w:t>
      </w:r>
      <w:r w:rsidR="00A725A6" w:rsidRPr="00A725A6">
        <w:t>BGBl. I Nr. 150/2021</w:t>
      </w:r>
      <w:r w:rsidR="00A725A6">
        <w:t xml:space="preserve">. </w:t>
      </w:r>
      <w:r w:rsidR="009E70E9">
        <w:t>Abrufbar:</w:t>
      </w:r>
      <w:r w:rsidR="00A725A6">
        <w:t xml:space="preserve"> </w:t>
      </w:r>
      <w:hyperlink r:id="rId9" w:history="1">
        <w:r w:rsidR="00A725A6" w:rsidRPr="00A725A6">
          <w:rPr>
            <w:rStyle w:val="Hyperlink"/>
          </w:rPr>
          <w:t>https://www.ris.bka.gv.at/GeltendeFassung.wxe?Abfrage=Bundesnormen&amp;Gesetzesnummer=20011619</w:t>
        </w:r>
      </w:hyperlink>
    </w:p>
    <w:p w14:paraId="6ED20248" w14:textId="77777777" w:rsidR="009E70E9" w:rsidRDefault="009E70E9" w:rsidP="00227125">
      <w:pPr>
        <w:pStyle w:val="Literatur"/>
      </w:pPr>
    </w:p>
    <w:p w14:paraId="323AB3EA" w14:textId="77777777" w:rsidR="005E4D4F" w:rsidRDefault="005E4D4F" w:rsidP="00227125">
      <w:pPr>
        <w:pStyle w:val="Literatur"/>
      </w:pP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3B010" w14:textId="77777777" w:rsidR="006E44D3" w:rsidRDefault="006E44D3">
      <w:r>
        <w:separator/>
      </w:r>
    </w:p>
  </w:endnote>
  <w:endnote w:type="continuationSeparator" w:id="0">
    <w:p w14:paraId="719AD6A5" w14:textId="77777777" w:rsidR="006E44D3" w:rsidRDefault="006E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5CC03" w14:textId="77777777" w:rsidR="006E44D3" w:rsidRDefault="006E44D3">
      <w:r>
        <w:separator/>
      </w:r>
    </w:p>
  </w:footnote>
  <w:footnote w:type="continuationSeparator" w:id="0">
    <w:p w14:paraId="1806F22D" w14:textId="77777777" w:rsidR="006E44D3" w:rsidRDefault="006E44D3">
      <w:r>
        <w:continuationSeparator/>
      </w:r>
    </w:p>
  </w:footnote>
  <w:footnote w:id="1">
    <w:p w14:paraId="3CFE16A5" w14:textId="77777777" w:rsidR="00D53E86" w:rsidRPr="00FB69AE" w:rsidRDefault="00D53E86" w:rsidP="002014D3">
      <w:r w:rsidRPr="00A115D2">
        <w:rPr>
          <w:rStyle w:val="Funotenzeichen"/>
        </w:rPr>
        <w:footnoteRef/>
      </w:r>
      <w:r w:rsidRPr="00D53E86">
        <w:t xml:space="preserve"> </w:t>
      </w:r>
      <w:r w:rsidR="00931A84">
        <w:t xml:space="preserve">Jungautorin. </w:t>
      </w:r>
      <w:proofErr w:type="spellStart"/>
      <w:r w:rsidR="00931A84">
        <w:t>Giefinggasse</w:t>
      </w:r>
      <w:proofErr w:type="spellEnd"/>
      <w:r w:rsidR="00931A84">
        <w:t xml:space="preserve"> </w:t>
      </w:r>
      <w:r w:rsidR="00F26AD6">
        <w:t>4</w:t>
      </w:r>
      <w:r w:rsidR="00E520E6">
        <w:t xml:space="preserve">, </w:t>
      </w:r>
      <w:r w:rsidR="00931A84">
        <w:t>1210 Wien,</w:t>
      </w:r>
      <w:r w:rsidR="001F0CBE">
        <w:t xml:space="preserve"> 0664/88335405,</w:t>
      </w:r>
      <w:r w:rsidR="00931A84">
        <w:t xml:space="preserve"> </w:t>
      </w:r>
      <w:hyperlink r:id="rId1" w:history="1">
        <w:r w:rsidR="00931A84" w:rsidRPr="00563B2D">
          <w:rPr>
            <w:rStyle w:val="Hyperlink"/>
          </w:rPr>
          <w:t>carolin.monsberger@ait.ac.at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7B7967"/>
    <w:multiLevelType w:val="hybridMultilevel"/>
    <w:tmpl w:val="04F20E08"/>
    <w:lvl w:ilvl="0" w:tplc="0AEAF6C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AF47FE"/>
    <w:multiLevelType w:val="hybridMultilevel"/>
    <w:tmpl w:val="D80CD8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4579D"/>
    <w:rsid w:val="000979E0"/>
    <w:rsid w:val="001F0CBE"/>
    <w:rsid w:val="002014D3"/>
    <w:rsid w:val="00227125"/>
    <w:rsid w:val="002367FD"/>
    <w:rsid w:val="002433C2"/>
    <w:rsid w:val="00262FD5"/>
    <w:rsid w:val="002946B8"/>
    <w:rsid w:val="00350F98"/>
    <w:rsid w:val="003603F8"/>
    <w:rsid w:val="00372E07"/>
    <w:rsid w:val="003B676F"/>
    <w:rsid w:val="003C28FE"/>
    <w:rsid w:val="00483B87"/>
    <w:rsid w:val="004A181C"/>
    <w:rsid w:val="004B7B5B"/>
    <w:rsid w:val="004F7D7F"/>
    <w:rsid w:val="00522FC4"/>
    <w:rsid w:val="005B1ADB"/>
    <w:rsid w:val="005E4D4F"/>
    <w:rsid w:val="00620E7C"/>
    <w:rsid w:val="00662525"/>
    <w:rsid w:val="006E44D3"/>
    <w:rsid w:val="007378C8"/>
    <w:rsid w:val="00741EC0"/>
    <w:rsid w:val="00766AD5"/>
    <w:rsid w:val="00803917"/>
    <w:rsid w:val="00931A84"/>
    <w:rsid w:val="009E70E9"/>
    <w:rsid w:val="00A07737"/>
    <w:rsid w:val="00A156E4"/>
    <w:rsid w:val="00A176C2"/>
    <w:rsid w:val="00A37A36"/>
    <w:rsid w:val="00A6148D"/>
    <w:rsid w:val="00A725A6"/>
    <w:rsid w:val="00B261CA"/>
    <w:rsid w:val="00B34F46"/>
    <w:rsid w:val="00BF05FA"/>
    <w:rsid w:val="00C46A5E"/>
    <w:rsid w:val="00CE1A70"/>
    <w:rsid w:val="00D072FB"/>
    <w:rsid w:val="00D53E86"/>
    <w:rsid w:val="00D736F8"/>
    <w:rsid w:val="00DC3CE4"/>
    <w:rsid w:val="00DF5A75"/>
    <w:rsid w:val="00E436F5"/>
    <w:rsid w:val="00E520E6"/>
    <w:rsid w:val="00E85667"/>
    <w:rsid w:val="00F26AD6"/>
    <w:rsid w:val="00F424B0"/>
    <w:rsid w:val="00F92D78"/>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B73200"/>
  <w15:chartTrackingRefBased/>
  <w15:docId w15:val="{EC7926E2-F7DB-46DA-B275-3AE4D32E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Hyperlink">
    <w:name w:val="Hyperlink"/>
    <w:basedOn w:val="Absatz-Standardschriftart"/>
    <w:uiPriority w:val="99"/>
    <w:unhideWhenUsed/>
    <w:rsid w:val="00931A84"/>
    <w:rPr>
      <w:color w:val="0563C1" w:themeColor="hyperlink"/>
      <w:u w:val="single"/>
    </w:rPr>
  </w:style>
  <w:style w:type="character" w:styleId="NichtaufgelsteErwhnung">
    <w:name w:val="Unresolved Mention"/>
    <w:basedOn w:val="Absatz-Standardschriftart"/>
    <w:uiPriority w:val="99"/>
    <w:semiHidden/>
    <w:unhideWhenUsed/>
    <w:rsid w:val="00931A84"/>
    <w:rPr>
      <w:color w:val="605E5C"/>
      <w:shd w:val="clear" w:color="auto" w:fill="E1DFDD"/>
    </w:rPr>
  </w:style>
  <w:style w:type="paragraph" w:styleId="Listenabsatz">
    <w:name w:val="List Paragraph"/>
    <w:basedOn w:val="Standard"/>
    <w:uiPriority w:val="34"/>
    <w:qFormat/>
    <w:rsid w:val="00F26AD6"/>
    <w:pPr>
      <w:ind w:left="720"/>
      <w:contextualSpacing/>
    </w:pPr>
  </w:style>
  <w:style w:type="character" w:styleId="Kommentarzeichen">
    <w:name w:val="annotation reference"/>
    <w:basedOn w:val="Absatz-Standardschriftart"/>
    <w:uiPriority w:val="99"/>
    <w:semiHidden/>
    <w:unhideWhenUsed/>
    <w:rsid w:val="00E85667"/>
    <w:rPr>
      <w:sz w:val="16"/>
      <w:szCs w:val="16"/>
    </w:rPr>
  </w:style>
  <w:style w:type="paragraph" w:styleId="Kommentartext">
    <w:name w:val="annotation text"/>
    <w:basedOn w:val="Standard"/>
    <w:link w:val="KommentartextZchn"/>
    <w:uiPriority w:val="99"/>
    <w:semiHidden/>
    <w:unhideWhenUsed/>
    <w:rsid w:val="00E85667"/>
    <w:rPr>
      <w:szCs w:val="20"/>
    </w:rPr>
  </w:style>
  <w:style w:type="character" w:customStyle="1" w:styleId="KommentartextZchn">
    <w:name w:val="Kommentartext Zchn"/>
    <w:basedOn w:val="Absatz-Standardschriftart"/>
    <w:link w:val="Kommentartext"/>
    <w:uiPriority w:val="99"/>
    <w:semiHidden/>
    <w:rsid w:val="00E85667"/>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E85667"/>
    <w:rPr>
      <w:b/>
      <w:bCs/>
    </w:rPr>
  </w:style>
  <w:style w:type="character" w:customStyle="1" w:styleId="KommentarthemaZchn">
    <w:name w:val="Kommentarthema Zchn"/>
    <w:basedOn w:val="KommentartextZchn"/>
    <w:link w:val="Kommentarthema"/>
    <w:uiPriority w:val="99"/>
    <w:semiHidden/>
    <w:rsid w:val="00E85667"/>
    <w:rPr>
      <w:rFonts w:ascii="Arial" w:hAnsi="Arial"/>
      <w:b/>
      <w:bCs/>
      <w:lang w:eastAsia="ko-KR"/>
    </w:rPr>
  </w:style>
  <w:style w:type="paragraph" w:styleId="Sprechblasentext">
    <w:name w:val="Balloon Text"/>
    <w:basedOn w:val="Standard"/>
    <w:link w:val="SprechblasentextZchn"/>
    <w:uiPriority w:val="99"/>
    <w:semiHidden/>
    <w:unhideWhenUsed/>
    <w:rsid w:val="00E8566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667"/>
    <w:rPr>
      <w:rFonts w:ascii="Segoe UI" w:hAnsi="Segoe UI" w:cs="Segoe UI"/>
      <w:sz w:val="18"/>
      <w:szCs w:val="18"/>
      <w:lang w:eastAsia="ko-KR"/>
    </w:rPr>
  </w:style>
  <w:style w:type="paragraph" w:styleId="Beschriftung">
    <w:name w:val="caption"/>
    <w:basedOn w:val="Standard"/>
    <w:next w:val="Standard"/>
    <w:uiPriority w:val="35"/>
    <w:unhideWhenUsed/>
    <w:qFormat/>
    <w:rsid w:val="00A725A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s.bka.gv.at/GeltendeFassung.wxe?Abfrage=Bundesnormen&amp;Gesetzesnummer=200116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arolin.monsberger@ait.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2A9143D-6ADF-413A-B239-376AD96A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5547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dc:description/>
  <cp:lastModifiedBy>Monsberger Carolin</cp:lastModifiedBy>
  <cp:revision>1</cp:revision>
  <dcterms:created xsi:type="dcterms:W3CDTF">2021-08-30T10:46:00Z</dcterms:created>
  <dcterms:modified xsi:type="dcterms:W3CDTF">2021-09-06T08:27:00Z</dcterms:modified>
</cp:coreProperties>
</file>