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10421" w14:textId="77777777" w:rsidR="00EE1E38" w:rsidRDefault="00EE1E38" w:rsidP="00827799">
      <w:pPr>
        <w:jc w:val="center"/>
        <w:rPr>
          <w:rFonts w:eastAsia="Times New Roman" w:cs="Arial"/>
          <w:b/>
          <w:bCs/>
          <w:kern w:val="32"/>
          <w:sz w:val="28"/>
          <w:szCs w:val="28"/>
        </w:rPr>
      </w:pPr>
    </w:p>
    <w:p w14:paraId="3E8C4FAB" w14:textId="2E3D9DE1" w:rsidR="00EE1E38" w:rsidRDefault="00EE1E38" w:rsidP="00827799">
      <w:pPr>
        <w:jc w:val="center"/>
        <w:rPr>
          <w:rFonts w:eastAsia="Times New Roman" w:cs="Arial"/>
          <w:b/>
          <w:bCs/>
          <w:kern w:val="32"/>
          <w:sz w:val="28"/>
          <w:szCs w:val="28"/>
        </w:rPr>
      </w:pPr>
      <w:r w:rsidRPr="00EE1E38">
        <w:rPr>
          <w:rFonts w:eastAsia="Times New Roman" w:cs="Arial"/>
          <w:b/>
          <w:bCs/>
          <w:kern w:val="32"/>
          <w:sz w:val="28"/>
          <w:szCs w:val="28"/>
        </w:rPr>
        <w:t xml:space="preserve">Standardisierte Biogasaufbereitung und Methanisierung </w:t>
      </w:r>
    </w:p>
    <w:p w14:paraId="67A08157" w14:textId="1002BC4D" w:rsidR="00A86AD3" w:rsidRDefault="00E21E1B" w:rsidP="006938DD">
      <w:pPr>
        <w:jc w:val="center"/>
        <w:rPr>
          <w:szCs w:val="20"/>
        </w:rPr>
      </w:pPr>
      <w:r w:rsidRPr="00B05223">
        <w:rPr>
          <w:szCs w:val="20"/>
          <w:u w:val="single"/>
        </w:rPr>
        <w:t>Autoren</w:t>
      </w:r>
      <w:r w:rsidRPr="00B05223">
        <w:rPr>
          <w:szCs w:val="20"/>
        </w:rPr>
        <w:t xml:space="preserve">: </w:t>
      </w:r>
      <w:r w:rsidR="00A86AD3" w:rsidRPr="00EE1E38">
        <w:rPr>
          <w:szCs w:val="20"/>
        </w:rPr>
        <w:t>Dipl.-Ing. Katrin Salbrechter</w:t>
      </w:r>
      <w:r w:rsidR="00A86AD3">
        <w:rPr>
          <w:szCs w:val="20"/>
        </w:rPr>
        <w:t xml:space="preserve"> (*</w:t>
      </w:r>
      <w:r w:rsidR="00A86AD3" w:rsidRPr="00623E9C">
        <w:rPr>
          <w:szCs w:val="20"/>
          <w:vertAlign w:val="superscript"/>
        </w:rPr>
        <w:t>2</w:t>
      </w:r>
      <w:r w:rsidR="00A86AD3">
        <w:rPr>
          <w:szCs w:val="20"/>
        </w:rPr>
        <w:t>)</w:t>
      </w:r>
    </w:p>
    <w:p w14:paraId="038F1D51" w14:textId="138EE4DD" w:rsidR="00EE1E38" w:rsidRPr="00EE1E38" w:rsidRDefault="00EE1E38" w:rsidP="006938DD">
      <w:pPr>
        <w:jc w:val="center"/>
        <w:rPr>
          <w:szCs w:val="20"/>
        </w:rPr>
      </w:pPr>
      <w:r w:rsidRPr="00EE1E38">
        <w:rPr>
          <w:szCs w:val="20"/>
        </w:rPr>
        <w:t>Univ.Prof. Dipl.-Ing. Dr.-Ing. Markus Lehner</w:t>
      </w:r>
      <w:r w:rsidR="0039287A">
        <w:rPr>
          <w:szCs w:val="20"/>
        </w:rPr>
        <w:t xml:space="preserve"> (</w:t>
      </w:r>
      <w:r w:rsidR="006938DD">
        <w:rPr>
          <w:szCs w:val="20"/>
        </w:rPr>
        <w:t>*</w:t>
      </w:r>
      <w:r w:rsidR="00094003" w:rsidRPr="00897000">
        <w:rPr>
          <w:szCs w:val="20"/>
          <w:vertAlign w:val="superscript"/>
        </w:rPr>
        <w:t>2</w:t>
      </w:r>
      <w:r w:rsidR="006938DD">
        <w:rPr>
          <w:szCs w:val="20"/>
        </w:rPr>
        <w:t>)</w:t>
      </w:r>
    </w:p>
    <w:p w14:paraId="5E659A80" w14:textId="4FF44ED6" w:rsidR="0039287A" w:rsidRDefault="006938DD" w:rsidP="00EE1E38">
      <w:pPr>
        <w:jc w:val="center"/>
        <w:rPr>
          <w:szCs w:val="20"/>
        </w:rPr>
      </w:pPr>
      <w:r>
        <w:rPr>
          <w:szCs w:val="20"/>
        </w:rPr>
        <w:t xml:space="preserve">Dipl.-Ing. </w:t>
      </w:r>
      <w:r w:rsidR="0039287A">
        <w:rPr>
          <w:szCs w:val="20"/>
        </w:rPr>
        <w:t>Sascha Grimm</w:t>
      </w:r>
      <w:r>
        <w:rPr>
          <w:szCs w:val="20"/>
        </w:rPr>
        <w:t xml:space="preserve"> (*</w:t>
      </w:r>
      <w:r w:rsidR="00094003">
        <w:rPr>
          <w:szCs w:val="20"/>
          <w:vertAlign w:val="superscript"/>
        </w:rPr>
        <w:t>1</w:t>
      </w:r>
      <w:r>
        <w:rPr>
          <w:szCs w:val="20"/>
        </w:rPr>
        <w:t>)</w:t>
      </w:r>
      <w:r w:rsidR="0039287A">
        <w:rPr>
          <w:szCs w:val="20"/>
        </w:rPr>
        <w:t xml:space="preserve"> </w:t>
      </w:r>
    </w:p>
    <w:p w14:paraId="17270B97" w14:textId="77777777" w:rsidR="00897000" w:rsidRPr="00827799" w:rsidRDefault="00897000" w:rsidP="00EE1E38">
      <w:pPr>
        <w:jc w:val="center"/>
        <w:rPr>
          <w:szCs w:val="20"/>
        </w:rPr>
      </w:pPr>
    </w:p>
    <w:p w14:paraId="405E265B" w14:textId="1C56D7E9" w:rsidR="00B05223" w:rsidRPr="00B05223" w:rsidRDefault="00B05223" w:rsidP="00B05223">
      <w:pPr>
        <w:rPr>
          <w:rFonts w:cs="Arial"/>
          <w:b/>
          <w:szCs w:val="20"/>
        </w:rPr>
      </w:pPr>
      <w:r w:rsidRPr="00B05223">
        <w:rPr>
          <w:b/>
          <w:szCs w:val="20"/>
        </w:rPr>
        <w:t>T</w:t>
      </w:r>
      <w:r>
        <w:rPr>
          <w:b/>
          <w:szCs w:val="20"/>
        </w:rPr>
        <w:t>hemenbereich</w:t>
      </w:r>
      <w:r w:rsidR="00E578EA">
        <w:rPr>
          <w:b/>
          <w:szCs w:val="20"/>
        </w:rPr>
        <w:t>e</w:t>
      </w:r>
      <w:r w:rsidRPr="00B05223">
        <w:rPr>
          <w:b/>
          <w:szCs w:val="20"/>
        </w:rPr>
        <w:t>:</w:t>
      </w:r>
      <w:r w:rsidR="00E578EA">
        <w:rPr>
          <w:b/>
          <w:szCs w:val="20"/>
        </w:rPr>
        <w:t xml:space="preserve"> 3</w:t>
      </w:r>
    </w:p>
    <w:p w14:paraId="615F194D" w14:textId="38E5F8E3" w:rsidR="00E152C2" w:rsidRPr="00A87D91" w:rsidRDefault="00EC2246" w:rsidP="00A87D91">
      <w:pPr>
        <w:pStyle w:val="berschrift2"/>
      </w:pPr>
      <w:r>
        <w:t>Einleitung</w:t>
      </w:r>
    </w:p>
    <w:p w14:paraId="58A945ED" w14:textId="77777777" w:rsidR="00EE1E38" w:rsidRDefault="00EE1E38" w:rsidP="00EE1E38">
      <w:r>
        <w:t>Rohbiogas enthält je nach verwendetem Substrat zwischen 20 und 55 Vol.% CO</w:t>
      </w:r>
      <w:r w:rsidRPr="001211DD">
        <w:rPr>
          <w:vertAlign w:val="subscript"/>
        </w:rPr>
        <w:t>2</w:t>
      </w:r>
      <w:r>
        <w:t>. Für eine Einspeisung des Biogases in das Erdgasnetz ist entweder eine Abtrennung des CO</w:t>
      </w:r>
      <w:r w:rsidRPr="001211DD">
        <w:rPr>
          <w:vertAlign w:val="subscript"/>
        </w:rPr>
        <w:t>2</w:t>
      </w:r>
      <w:r>
        <w:t xml:space="preserve"> notwendig oder das CO</w:t>
      </w:r>
      <w:r w:rsidRPr="001211DD">
        <w:rPr>
          <w:vertAlign w:val="subscript"/>
        </w:rPr>
        <w:t>2</w:t>
      </w:r>
      <w:r>
        <w:t xml:space="preserve"> wird unter Beigabe von grünem Wasserstoff (H</w:t>
      </w:r>
      <w:r w:rsidRPr="001211DD">
        <w:rPr>
          <w:vertAlign w:val="subscript"/>
        </w:rPr>
        <w:t>2</w:t>
      </w:r>
      <w:r>
        <w:t xml:space="preserve">) zu synthetischem Methan umgewandelt. Diese Konversion kann chemisch-katalytisch oder biologisch erfolgen und wird als Methanisierung bezeichnet. Wird der für die Umsetzung benötigte Wasserstoff in einer mit erneuerbarem Strom betriebenen Wasserelektrolyse erzeugt, spricht man von der Power-to-Gas Technologie, die Strom- und Erdgasnetz koppelt und erneuerbaren Strom in Form von grünem Gas speichert. </w:t>
      </w:r>
    </w:p>
    <w:p w14:paraId="70EC6797" w14:textId="77777777" w:rsidR="00EE1E38" w:rsidRDefault="00EE1E38" w:rsidP="00EE1E38"/>
    <w:p w14:paraId="384F0B89" w14:textId="3CB5B366" w:rsidR="00EE1E38" w:rsidRDefault="00EE1E38" w:rsidP="00EE1E38">
      <w:r>
        <w:t>In einer katalytischen Methanisierung wird CO</w:t>
      </w:r>
      <w:r w:rsidRPr="001211DD">
        <w:rPr>
          <w:vertAlign w:val="subscript"/>
        </w:rPr>
        <w:t>2</w:t>
      </w:r>
      <w:r>
        <w:t xml:space="preserve"> mit Wasserstoff an einem Katalysator (katalytisch aktives Material Nickel) unter Wärmefreisetzung bei Temperaturen zwischen 300 und 500 °C sowie moderaten Drücken von 5 bis 15 bar zu Methan und Wasserdampf umgesetzt. Dabei muss der im Rohbiogas enthaltene Schwefelwasserstoff ebenso wie allfällig vorhandenes Ammoniak zur Verhinderung von Katalysatorvergiftungen vor dem Reaktor abgetrennt werden, was bei geringen Konzentrationen dieser Stoffe mittels Adsorption an unterschiedlich dotierten Aktivkohlen möglich ist. Bei einer überstöchiometrischen Vorlage des Wasserstoffs kann das im Biogas enthaltene CO</w:t>
      </w:r>
      <w:r w:rsidRPr="001211DD">
        <w:rPr>
          <w:vertAlign w:val="subscript"/>
        </w:rPr>
        <w:t>2</w:t>
      </w:r>
      <w:r>
        <w:t xml:space="preserve"> praktisch vollständig zu Methan umgesetzt werden (CO</w:t>
      </w:r>
      <w:r w:rsidRPr="000F1FFE">
        <w:rPr>
          <w:vertAlign w:val="subscript"/>
        </w:rPr>
        <w:t>2</w:t>
      </w:r>
      <w:r>
        <w:t xml:space="preserve">-Umsatz &gt; 99%). Das Produktgas bedarf einer Konditionierung vor der Einspeisung in das Gasnetz, die jedenfalls aus einer Abtrennung des Wasserdampfes durch Kondensation besteht. Je nach geltender Einspeiserichtlinie ist darüber hinaus der Wasserstoffgehalt im Produktgas, beispielsweise durch eine Polymermembraneinheit, zu reduzieren. Als Reaktorbauart werden nach dem Stand der Technik Festbettreaktoren eingesetzt, jedoch befinden sich auch Wirbelschichtreaktoren und 3-phasige Blasensäulenreaktoren in der Entwicklung. </w:t>
      </w:r>
    </w:p>
    <w:p w14:paraId="4B7A4E07" w14:textId="77777777" w:rsidR="00EE1E38" w:rsidRDefault="00EE1E38" w:rsidP="00EE1E38"/>
    <w:p w14:paraId="2E10326B" w14:textId="2111DFC8" w:rsidR="00EE1E38" w:rsidRDefault="00EE1E38" w:rsidP="00EE1E38">
      <w:r>
        <w:t>In einer biologischen Methanisierung wird CO</w:t>
      </w:r>
      <w:r w:rsidRPr="001211DD">
        <w:rPr>
          <w:vertAlign w:val="subscript"/>
        </w:rPr>
        <w:t>2</w:t>
      </w:r>
      <w:r>
        <w:t xml:space="preserve"> ebenfalls mit Wasserstoff im Metabolismus von Mikroorganismen enzymatisch zu Methan umgesetzt, wobei die Betriebsbedingungen bei Temperaturen zwischen 40 und 70 °C sowie im Regelfall leichtem Überdruck gegenüber Atmosphäre deutlich milder ausfallen als bei der katalytischen Methanisierung. Dabei kann die Umsetzung direkt im Biogasreaktor (in-situ Betrieb) oder in einem separaten biologischen Methanisierungsreaktor (ex-situ Betrieb) erfolgen. Die Kinetik der biologischen Umsetzung ist im Vergleich zur katalytischen langsamer, was zu größeren Reaktoren und längeren Verweilzeiten führt. Das Rohbiogas kann der biologischen Methanisierung ohne weitere Aufbereitung zugeführt werden. Jedoch ist eine Reinigung des Produktgases vor Einspeisung in das </w:t>
      </w:r>
      <w:r>
        <w:lastRenderedPageBreak/>
        <w:t xml:space="preserve">Erdgasnetz </w:t>
      </w:r>
      <w:r w:rsidRPr="00753521">
        <w:t>notwendig, die neben einer Kondensation des Wasserdampfes auch aus einer Separation von Schwefelverbindungen besteht. Als Reaktoren werden am häufigsten kontinuierliche Rührkessel verwendet, aber es werden vereinzelt auch Trickle Bed Reaktoren und Blasensäulen eingesetzt. Der Vergleich von katalytischer und biologischer Methanisierung für die Aufbereitung von Biogas für die Einspeisung in das Gasnetz ergibt, dass die biologische Methanisierung in dieser Anwendungsumgebung vorteilhaft ist. Die katalytische Methan</w:t>
      </w:r>
      <w:r w:rsidR="000F1FFE">
        <w:t>i</w:t>
      </w:r>
      <w:r w:rsidRPr="00753521">
        <w:t>sierung ist vor allem bei größeren Anlagen (&gt; 1 MW</w:t>
      </w:r>
      <w:r w:rsidRPr="001211DD">
        <w:rPr>
          <w:vertAlign w:val="subscript"/>
        </w:rPr>
        <w:t>th</w:t>
      </w:r>
      <w:r w:rsidRPr="00753521">
        <w:t xml:space="preserve">) zu bevorzugen. </w:t>
      </w:r>
    </w:p>
    <w:p w14:paraId="3E6AFE79" w14:textId="77777777" w:rsidR="00EE1E38" w:rsidRDefault="00EE1E38" w:rsidP="00EE1E38"/>
    <w:p w14:paraId="29B14C5D" w14:textId="77777777" w:rsidR="00EE1E38" w:rsidRDefault="00EE1E38" w:rsidP="00EE1E38">
      <w:pPr>
        <w:pStyle w:val="flietext"/>
      </w:pPr>
      <w:r w:rsidRPr="00E82DDD">
        <w:rPr>
          <w:noProof/>
          <w:lang w:eastAsia="de-AT"/>
        </w:rPr>
        <w:drawing>
          <wp:inline distT="0" distB="0" distL="0" distR="0" wp14:anchorId="07C288AD" wp14:editId="4D020AF2">
            <wp:extent cx="5400040" cy="1754988"/>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1754988"/>
                    </a:xfrm>
                    <a:prstGeom prst="rect">
                      <a:avLst/>
                    </a:prstGeom>
                    <a:noFill/>
                    <a:ln>
                      <a:noFill/>
                    </a:ln>
                  </pic:spPr>
                </pic:pic>
              </a:graphicData>
            </a:graphic>
          </wp:inline>
        </w:drawing>
      </w:r>
    </w:p>
    <w:p w14:paraId="11CB4E8D" w14:textId="77777777" w:rsidR="00EE1E38" w:rsidRPr="00753521" w:rsidRDefault="00EE1E38" w:rsidP="00EE1E38">
      <w:pPr>
        <w:pStyle w:val="berschrift2"/>
      </w:pPr>
      <w:r>
        <w:t>ERKENNTNISSE</w:t>
      </w:r>
    </w:p>
    <w:p w14:paraId="3F9124A1" w14:textId="77777777" w:rsidR="00EE1E38" w:rsidRDefault="00EE1E38" w:rsidP="00EE1E38">
      <w:r w:rsidRPr="00753521">
        <w:t>Die Abschätzung der Investitionskosten für eine Power-to-Gas Anlage zur Methanisierung von Biogas mit einem Gehalt von 45 Vol.% CO</w:t>
      </w:r>
      <w:r w:rsidRPr="001211DD">
        <w:rPr>
          <w:vertAlign w:val="subscript"/>
        </w:rPr>
        <w:t>2</w:t>
      </w:r>
      <w:r w:rsidRPr="00753521">
        <w:t xml:space="preserve"> zeigt, dass die spezifischen Investitionskosten sowohl von der Anlagengröße als auch von der Art der Methanisierung abhängen. Bei einem Rohbiogasvolumenstrom von 50 Nm</w:t>
      </w:r>
      <w:r w:rsidRPr="001211DD">
        <w:rPr>
          <w:vertAlign w:val="superscript"/>
        </w:rPr>
        <w:t>3</w:t>
      </w:r>
      <w:r w:rsidRPr="00753521">
        <w:t>/h liegen die spezifischen Investitionskosten bei rund 1300 €/kW</w:t>
      </w:r>
      <w:r w:rsidRPr="001211DD">
        <w:rPr>
          <w:vertAlign w:val="subscript"/>
        </w:rPr>
        <w:t>el</w:t>
      </w:r>
      <w:r w:rsidRPr="00753521">
        <w:t xml:space="preserve"> für eine katalytische, sowie bei</w:t>
      </w:r>
      <w:r w:rsidRPr="0046381A">
        <w:t xml:space="preserve"> rund 1900 €/kW</w:t>
      </w:r>
      <w:r w:rsidRPr="001211DD">
        <w:rPr>
          <w:vertAlign w:val="subscript"/>
        </w:rPr>
        <w:t>el</w:t>
      </w:r>
      <w:r w:rsidRPr="0046381A">
        <w:t xml:space="preserve"> für eine biologische Methanisierung. Diese Werte sinken bei einer Anlage für 250 Nm</w:t>
      </w:r>
      <w:r w:rsidRPr="001211DD">
        <w:rPr>
          <w:vertAlign w:val="superscript"/>
        </w:rPr>
        <w:t>3</w:t>
      </w:r>
      <w:r w:rsidRPr="0046381A">
        <w:t>/h auf rund 780 €/kW</w:t>
      </w:r>
      <w:r w:rsidRPr="001211DD">
        <w:rPr>
          <w:vertAlign w:val="subscript"/>
        </w:rPr>
        <w:t>el</w:t>
      </w:r>
      <w:r w:rsidRPr="0046381A">
        <w:t xml:space="preserve"> bzw. 1090 €/kW</w:t>
      </w:r>
      <w:r w:rsidRPr="001211DD">
        <w:rPr>
          <w:vertAlign w:val="subscript"/>
        </w:rPr>
        <w:t>el</w:t>
      </w:r>
      <w:r w:rsidRPr="0046381A">
        <w:t xml:space="preserve"> ab. Durch Lerneffekte als auch Skaleneffekte ist eine weitere Reduktion der Investitionskosten in den kommenden Jahren zu erwarten. Bei einem spezifischen Energiebedarf von 5 kWh/Nm</w:t>
      </w:r>
      <w:r w:rsidRPr="001211DD">
        <w:rPr>
          <w:vertAlign w:val="superscript"/>
        </w:rPr>
        <w:t>3</w:t>
      </w:r>
      <w:r w:rsidRPr="0046381A">
        <w:t xml:space="preserve"> H</w:t>
      </w:r>
      <w:r w:rsidRPr="001211DD">
        <w:rPr>
          <w:vertAlign w:val="subscript"/>
        </w:rPr>
        <w:t>2</w:t>
      </w:r>
      <w:r w:rsidRPr="0046381A">
        <w:t xml:space="preserve"> ergeben sich die benötigten Elektrolyseleistungen zu 471 kW</w:t>
      </w:r>
      <w:r w:rsidRPr="00897000">
        <w:rPr>
          <w:vertAlign w:val="subscript"/>
        </w:rPr>
        <w:t>el</w:t>
      </w:r>
      <w:r w:rsidRPr="0046381A">
        <w:t xml:space="preserve"> für 50 Nm</w:t>
      </w:r>
      <w:r w:rsidRPr="001211DD">
        <w:rPr>
          <w:vertAlign w:val="superscript"/>
        </w:rPr>
        <w:t>3</w:t>
      </w:r>
      <w:r w:rsidRPr="0046381A">
        <w:t>/h Biogas bzw. 2357 kW</w:t>
      </w:r>
      <w:r w:rsidRPr="001211DD">
        <w:rPr>
          <w:vertAlign w:val="subscript"/>
        </w:rPr>
        <w:t>el</w:t>
      </w:r>
      <w:r w:rsidRPr="0046381A">
        <w:t xml:space="preserve"> für 250 Nm</w:t>
      </w:r>
      <w:r w:rsidRPr="00897000">
        <w:rPr>
          <w:vertAlign w:val="superscript"/>
        </w:rPr>
        <w:t>3</w:t>
      </w:r>
      <w:r w:rsidRPr="0046381A">
        <w:t>/h Biogas bei einer katalytischen Methanisierung. Für die biologische Methanisierung fallen diese Werte mit 453 bzw. 2267 kW</w:t>
      </w:r>
      <w:r w:rsidRPr="001211DD">
        <w:rPr>
          <w:vertAlign w:val="subscript"/>
        </w:rPr>
        <w:t>el</w:t>
      </w:r>
      <w:r w:rsidRPr="0046381A">
        <w:t xml:space="preserve"> etwas geringer aus, da für eine vollständige Umsetzung des CO</w:t>
      </w:r>
      <w:r w:rsidRPr="001211DD">
        <w:rPr>
          <w:vertAlign w:val="subscript"/>
        </w:rPr>
        <w:t>2</w:t>
      </w:r>
      <w:r w:rsidRPr="0046381A">
        <w:t xml:space="preserve"> eine katalytische Methanisierung vorzugsweise mit Wasserstoff im Überschuss betrieben wird. Der nicht umgesetzte Wasserstoff wird, soweit zulässig, mit dem synthetischen Methan in das Erdgasnetz eingespeist. Die spezifischen Investitionskosten für die Elektrolyse liegen zwischen 1550 und 1100 €/kW</w:t>
      </w:r>
      <w:r w:rsidRPr="001211DD">
        <w:rPr>
          <w:vertAlign w:val="subscript"/>
        </w:rPr>
        <w:t>el</w:t>
      </w:r>
      <w:r w:rsidRPr="0046381A">
        <w:t xml:space="preserve"> für Anlagengrößen von 0,5 bis 2,5 MW.</w:t>
      </w:r>
    </w:p>
    <w:p w14:paraId="3E37112D" w14:textId="2DC73501" w:rsidR="00EE1E38" w:rsidRPr="00753521" w:rsidRDefault="00EE1E38" w:rsidP="00EE1E38">
      <w:r>
        <w:br/>
      </w:r>
      <w:r w:rsidRPr="00753521">
        <w:t xml:space="preserve">Aufgrund eines erforderlichen Wasserstoffüberschusses im </w:t>
      </w:r>
      <w:r w:rsidR="000F1FFE">
        <w:t xml:space="preserve">katalytischen </w:t>
      </w:r>
      <w:r w:rsidRPr="00753521">
        <w:t xml:space="preserve">Methanisierungsprozess befindet sich im Produktgas ein Anteil von 6,7 </w:t>
      </w:r>
      <w:r w:rsidR="00A86AD3">
        <w:t>Vol.</w:t>
      </w:r>
      <w:r w:rsidRPr="00753521">
        <w:t>% H</w:t>
      </w:r>
      <w:r w:rsidRPr="001211DD">
        <w:rPr>
          <w:vertAlign w:val="subscript"/>
        </w:rPr>
        <w:t>2</w:t>
      </w:r>
      <w:r w:rsidRPr="00753521">
        <w:t>. Es wurde untersucht, ob sich eine Wasserstoffabscheidungsanlage rentiert, um diesen an den Beginn des Prozesses zurückzuführen und somit Elektrolyseleistung einzusparen. Dabei hat sich herausgestellt, dass solch eine Rezirkulation aufgrund der aufwändigen Abscheideanlage nicht rentabel ist. Eine Zulassung von 10 % Wasserstoffanteil im Gasnetz würde somit die Direkteinspeisung ohne Wasserstoffabscheidung ermöglichen und zur Effizienz dieses Prozesses beitragen.</w:t>
      </w:r>
    </w:p>
    <w:p w14:paraId="619AB945" w14:textId="77777777" w:rsidR="00EE1E38" w:rsidRPr="00487185" w:rsidRDefault="00EE1E38" w:rsidP="00EE1E38">
      <w:pPr>
        <w:rPr>
          <w:rFonts w:cs="Arial"/>
          <w:szCs w:val="20"/>
        </w:rPr>
      </w:pPr>
    </w:p>
    <w:p w14:paraId="457CBDE1" w14:textId="2425C953" w:rsidR="006215EA" w:rsidRPr="00AB63D1" w:rsidRDefault="006215EA" w:rsidP="00EE1E38">
      <w:pPr>
        <w:rPr>
          <w:rFonts w:cs="Arial"/>
        </w:rPr>
      </w:pPr>
    </w:p>
    <w:sectPr w:rsidR="006215EA" w:rsidRPr="00AB63D1" w:rsidSect="00827799">
      <w:headerReference w:type="default" r:id="rId9"/>
      <w:headerReference w:type="first" r:id="rId10"/>
      <w:footerReference w:type="first" r:id="rId11"/>
      <w:pgSz w:w="11906" w:h="16838" w:code="9"/>
      <w:pgMar w:top="1543" w:right="1701" w:bottom="1134" w:left="1701"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81CE4" w14:textId="77777777" w:rsidR="00DC1EFE" w:rsidRDefault="00DC1EFE" w:rsidP="000E3FE0">
      <w:pPr>
        <w:spacing w:line="240" w:lineRule="auto"/>
      </w:pPr>
      <w:r>
        <w:separator/>
      </w:r>
    </w:p>
  </w:endnote>
  <w:endnote w:type="continuationSeparator" w:id="0">
    <w:p w14:paraId="6B0B15A2" w14:textId="77777777" w:rsidR="00DC1EFE" w:rsidRDefault="00DC1EFE" w:rsidP="000E3F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68" w:type="dxa"/>
        <w:right w:w="68" w:type="dxa"/>
      </w:tblCellMar>
      <w:tblLook w:val="04A0" w:firstRow="1" w:lastRow="0" w:firstColumn="1" w:lastColumn="0" w:noHBand="0" w:noVBand="1"/>
    </w:tblPr>
    <w:tblGrid>
      <w:gridCol w:w="2948"/>
      <w:gridCol w:w="5625"/>
    </w:tblGrid>
    <w:tr w:rsidR="00933C34" w:rsidRPr="00B61A32" w14:paraId="33A7BC28" w14:textId="77777777" w:rsidTr="00031215">
      <w:tc>
        <w:tcPr>
          <w:tcW w:w="2948" w:type="dxa"/>
          <w:vAlign w:val="bottom"/>
        </w:tcPr>
        <w:p w14:paraId="2341C39C" w14:textId="3F248E39" w:rsidR="004E7FE3" w:rsidRPr="00FB6D7D" w:rsidRDefault="00DC1EFE" w:rsidP="00E36CF9">
          <w:pPr>
            <w:pStyle w:val="Fuzeile"/>
          </w:pPr>
        </w:p>
      </w:tc>
      <w:tc>
        <w:tcPr>
          <w:tcW w:w="5625" w:type="dxa"/>
          <w:vAlign w:val="bottom"/>
        </w:tcPr>
        <w:p w14:paraId="047C67D3" w14:textId="2724858F" w:rsidR="004E7FE3" w:rsidRPr="004E7FE3" w:rsidRDefault="00DC1EFE" w:rsidP="006215EA">
          <w:pPr>
            <w:pStyle w:val="Fuzeile"/>
            <w:jc w:val="right"/>
            <w:rPr>
              <w:color w:val="333333"/>
              <w:sz w:val="14"/>
              <w:szCs w:val="14"/>
            </w:rPr>
          </w:pPr>
        </w:p>
      </w:tc>
    </w:tr>
  </w:tbl>
  <w:p w14:paraId="44EA0E57" w14:textId="77777777" w:rsidR="008F6E26" w:rsidRDefault="00DC1EFE" w:rsidP="003F3A2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8471F" w14:textId="77777777" w:rsidR="00DC1EFE" w:rsidRDefault="00DC1EFE" w:rsidP="000E3FE0">
      <w:pPr>
        <w:spacing w:line="240" w:lineRule="auto"/>
      </w:pPr>
      <w:r>
        <w:separator/>
      </w:r>
    </w:p>
  </w:footnote>
  <w:footnote w:type="continuationSeparator" w:id="0">
    <w:p w14:paraId="137F59E5" w14:textId="77777777" w:rsidR="00DC1EFE" w:rsidRDefault="00DC1EFE" w:rsidP="000E3F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CA9A5" w14:textId="05F03684" w:rsidR="00583E2D" w:rsidRPr="00B77205" w:rsidRDefault="00567D96" w:rsidP="00B77205">
    <w:pPr>
      <w:pStyle w:val="Kopfzeile"/>
      <w:rPr>
        <w:lang w:val="de-AT"/>
      </w:rPr>
    </w:pPr>
    <w:r>
      <w:tab/>
      <w:t xml:space="preserve">Seite </w:t>
    </w:r>
    <w:r w:rsidR="00994563">
      <w:fldChar w:fldCharType="begin"/>
    </w:r>
    <w:r>
      <w:instrText xml:space="preserve"> PAGE   \* MERGEFORMAT </w:instrText>
    </w:r>
    <w:r w:rsidR="00994563">
      <w:fldChar w:fldCharType="separate"/>
    </w:r>
    <w:r w:rsidR="00A86AD3">
      <w:rPr>
        <w:noProof/>
      </w:rPr>
      <w:t>2</w:t>
    </w:r>
    <w:r w:rsidR="00994563">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68" w:type="dxa"/>
        <w:right w:w="68" w:type="dxa"/>
      </w:tblCellMar>
      <w:tblLook w:val="04A0" w:firstRow="1" w:lastRow="0" w:firstColumn="1" w:lastColumn="0" w:noHBand="0" w:noVBand="1"/>
    </w:tblPr>
    <w:tblGrid>
      <w:gridCol w:w="4251"/>
      <w:gridCol w:w="4253"/>
    </w:tblGrid>
    <w:tr w:rsidR="005E64C9" w:rsidRPr="00FB6D7D" w14:paraId="04E451B4" w14:textId="77777777" w:rsidTr="00255696">
      <w:tc>
        <w:tcPr>
          <w:tcW w:w="4322" w:type="dxa"/>
        </w:tcPr>
        <w:p w14:paraId="7D5BBC0B" w14:textId="49DF7987" w:rsidR="008F6E26" w:rsidRPr="00255696" w:rsidRDefault="00A86AD3" w:rsidP="003F3A21">
          <w:pPr>
            <w:pStyle w:val="titelkopf"/>
            <w:spacing w:before="280" w:after="840" w:line="240" w:lineRule="auto"/>
          </w:pPr>
          <w:r w:rsidRPr="00EE1E38">
            <w:drawing>
              <wp:anchor distT="0" distB="0" distL="114300" distR="114300" simplePos="0" relativeHeight="251661312" behindDoc="0" locked="0" layoutInCell="1" allowOverlap="1" wp14:anchorId="7B50D02C" wp14:editId="7EEACE6E">
                <wp:simplePos x="0" y="0"/>
                <wp:positionH relativeFrom="column">
                  <wp:posOffset>534035</wp:posOffset>
                </wp:positionH>
                <wp:positionV relativeFrom="paragraph">
                  <wp:posOffset>832485</wp:posOffset>
                </wp:positionV>
                <wp:extent cx="876300" cy="567690"/>
                <wp:effectExtent l="0" t="0" r="0" b="3810"/>
                <wp:wrapThrough wrapText="bothSides">
                  <wp:wrapPolygon edited="0">
                    <wp:start x="0" y="0"/>
                    <wp:lineTo x="0" y="21020"/>
                    <wp:lineTo x="21130" y="21020"/>
                    <wp:lineTo x="21130" y="0"/>
                    <wp:lineTo x="0" y="0"/>
                  </wp:wrapPolygon>
                </wp:wrapThrough>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67690"/>
                        </a:xfrm>
                        <a:prstGeom prst="rect">
                          <a:avLst/>
                        </a:prstGeom>
                        <a:noFill/>
                        <a:ln>
                          <a:noFill/>
                        </a:ln>
                      </pic:spPr>
                    </pic:pic>
                  </a:graphicData>
                </a:graphic>
              </wp:anchor>
            </w:drawing>
          </w:r>
          <w:r w:rsidRPr="00E21E1B">
            <w:drawing>
              <wp:anchor distT="0" distB="0" distL="114300" distR="114300" simplePos="0" relativeHeight="251660288" behindDoc="0" locked="0" layoutInCell="1" allowOverlap="1" wp14:anchorId="33D5C9FC" wp14:editId="1D4607C9">
                <wp:simplePos x="0" y="0"/>
                <wp:positionH relativeFrom="column">
                  <wp:posOffset>26670</wp:posOffset>
                </wp:positionH>
                <wp:positionV relativeFrom="paragraph">
                  <wp:posOffset>808355</wp:posOffset>
                </wp:positionV>
                <wp:extent cx="438785" cy="605790"/>
                <wp:effectExtent l="0" t="0" r="0" b="3810"/>
                <wp:wrapThrough wrapText="bothSides">
                  <wp:wrapPolygon edited="0">
                    <wp:start x="0" y="0"/>
                    <wp:lineTo x="0" y="21057"/>
                    <wp:lineTo x="20631" y="21057"/>
                    <wp:lineTo x="20631" y="0"/>
                    <wp:lineTo x="0" y="0"/>
                  </wp:wrapPolygon>
                </wp:wrapThrough>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38785" cy="605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1E38">
            <w:t xml:space="preserve"> </w:t>
          </w:r>
          <w:r w:rsidR="00EE1E38" w:rsidRPr="00EE1E38">
            <w:t xml:space="preserve"> </w:t>
          </w:r>
          <w:r w:rsidR="00567D96">
            <w:drawing>
              <wp:anchor distT="0" distB="0" distL="114300" distR="114300" simplePos="0" relativeHeight="251658240" behindDoc="1" locked="0" layoutInCell="1" allowOverlap="1" wp14:anchorId="5A0F1F13" wp14:editId="6DBCB1D4">
                <wp:simplePos x="0" y="0"/>
                <wp:positionH relativeFrom="column">
                  <wp:posOffset>25001</wp:posOffset>
                </wp:positionH>
                <wp:positionV relativeFrom="paragraph">
                  <wp:posOffset>177106</wp:posOffset>
                </wp:positionV>
                <wp:extent cx="1056005" cy="544195"/>
                <wp:effectExtent l="0" t="0" r="0" b="8255"/>
                <wp:wrapNone/>
                <wp:docPr id="10" name="Bild 1" descr="..\..\..\logo\logo_export\exportlogos\LOGO_b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logo_export\exportlogos\LOGO_bw.bmp"/>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56005" cy="544195"/>
                        </a:xfrm>
                        <a:prstGeom prst="rect">
                          <a:avLst/>
                        </a:prstGeom>
                        <a:noFill/>
                        <a:ln w="9525">
                          <a:noFill/>
                          <a:miter lim="800000"/>
                          <a:headEnd/>
                          <a:tailEnd/>
                        </a:ln>
                      </pic:spPr>
                    </pic:pic>
                  </a:graphicData>
                </a:graphic>
              </wp:anchor>
            </w:drawing>
          </w:r>
        </w:p>
      </w:tc>
      <w:tc>
        <w:tcPr>
          <w:tcW w:w="4322" w:type="dxa"/>
          <w:tcMar>
            <w:right w:w="0" w:type="dxa"/>
          </w:tcMar>
        </w:tcPr>
        <w:p w14:paraId="4349F98B" w14:textId="077931F1" w:rsidR="008F6E26" w:rsidRPr="000F1FFE" w:rsidRDefault="0039287A" w:rsidP="003F3A21">
          <w:pPr>
            <w:pStyle w:val="titelkopf"/>
            <w:spacing w:before="360" w:line="240" w:lineRule="auto"/>
            <w:rPr>
              <w:sz w:val="18"/>
              <w:szCs w:val="28"/>
            </w:rPr>
          </w:pPr>
          <w:r w:rsidRPr="000F1FFE">
            <w:rPr>
              <w:b/>
              <w:bCs/>
              <w:sz w:val="18"/>
              <w:szCs w:val="28"/>
            </w:rPr>
            <w:t>(*</w:t>
          </w:r>
          <w:r w:rsidRPr="000F1FFE">
            <w:rPr>
              <w:b/>
              <w:bCs/>
              <w:sz w:val="18"/>
              <w:szCs w:val="28"/>
              <w:vertAlign w:val="superscript"/>
            </w:rPr>
            <w:t>1</w:t>
          </w:r>
          <w:r w:rsidRPr="000F1FFE">
            <w:rPr>
              <w:b/>
              <w:bCs/>
              <w:sz w:val="18"/>
              <w:szCs w:val="28"/>
            </w:rPr>
            <w:t>)</w:t>
          </w:r>
          <w:r w:rsidRPr="000F1FFE">
            <w:rPr>
              <w:sz w:val="18"/>
              <w:szCs w:val="28"/>
            </w:rPr>
            <w:t xml:space="preserve"> </w:t>
          </w:r>
          <w:r w:rsidR="00567D96" w:rsidRPr="000F1FFE">
            <w:rPr>
              <w:b/>
              <w:bCs/>
              <w:sz w:val="18"/>
              <w:szCs w:val="28"/>
            </w:rPr>
            <w:t>Österreichische Vereinigung für das Gas- und Wasserfach</w:t>
          </w:r>
        </w:p>
        <w:p w14:paraId="07F7139B" w14:textId="77777777" w:rsidR="008F6E26" w:rsidRPr="00FB6D7D" w:rsidRDefault="00567D96" w:rsidP="003F3A21">
          <w:pPr>
            <w:pStyle w:val="titelkopf"/>
            <w:spacing w:line="240" w:lineRule="auto"/>
          </w:pPr>
          <w:r w:rsidRPr="00FB6D7D">
            <w:t>A-101</w:t>
          </w:r>
          <w:r w:rsidR="005F4F34">
            <w:t>0</w:t>
          </w:r>
          <w:r w:rsidRPr="00FB6D7D">
            <w:t xml:space="preserve"> Wie</w:t>
          </w:r>
          <w:r w:rsidR="005F4F34">
            <w:t>n, Schubertring 14</w:t>
          </w:r>
        </w:p>
        <w:p w14:paraId="2CB7C713" w14:textId="77777777" w:rsidR="008F6E26" w:rsidRPr="00FB6D7D" w:rsidRDefault="00567D96" w:rsidP="003F3A21">
          <w:pPr>
            <w:pStyle w:val="titelkopf"/>
            <w:spacing w:line="240" w:lineRule="auto"/>
          </w:pPr>
          <w:r w:rsidRPr="00FB6D7D">
            <w:t>Telefon:  +4</w:t>
          </w:r>
          <w:r w:rsidRPr="00FB6D7D">
            <w:rPr>
              <w:spacing w:val="-10"/>
            </w:rPr>
            <w:t xml:space="preserve">3 / 1 / </w:t>
          </w:r>
          <w:r w:rsidRPr="00FB6D7D">
            <w:t>513 15 8</w:t>
          </w:r>
          <w:r w:rsidRPr="00FB6D7D">
            <w:rPr>
              <w:spacing w:val="10"/>
            </w:rPr>
            <w:t>8-</w:t>
          </w:r>
          <w:r w:rsidRPr="00FB6D7D">
            <w:t>0*  /  Telefax:  +43</w:t>
          </w:r>
          <w:r w:rsidRPr="00FB6D7D">
            <w:rPr>
              <w:spacing w:val="-10"/>
            </w:rPr>
            <w:t xml:space="preserve"> / 1 / </w:t>
          </w:r>
          <w:r w:rsidRPr="00FB6D7D">
            <w:t>513 15 8</w:t>
          </w:r>
          <w:r w:rsidRPr="00FB6D7D">
            <w:rPr>
              <w:spacing w:val="10"/>
            </w:rPr>
            <w:t>8-</w:t>
          </w:r>
          <w:r w:rsidRPr="00FB6D7D">
            <w:t>25</w:t>
          </w:r>
        </w:p>
        <w:p w14:paraId="768257D8" w14:textId="77777777" w:rsidR="008F6E26" w:rsidRDefault="00567D96" w:rsidP="003F3A21">
          <w:pPr>
            <w:pStyle w:val="titelkopf"/>
            <w:spacing w:line="240" w:lineRule="auto"/>
          </w:pPr>
          <w:r w:rsidRPr="00FB6D7D">
            <w:t>E-Mail:  office@ovgw.at  /  Internet:  www.ovgw.at</w:t>
          </w:r>
          <w:r>
            <w:tab/>
          </w:r>
        </w:p>
        <w:p w14:paraId="4EA50B08" w14:textId="35587BD9" w:rsidR="00E21E1B" w:rsidRDefault="00E21E1B" w:rsidP="003F3A21">
          <w:pPr>
            <w:pStyle w:val="titelkopf"/>
            <w:spacing w:line="240" w:lineRule="auto"/>
          </w:pPr>
        </w:p>
        <w:p w14:paraId="1E9403B5" w14:textId="7AC71F6C" w:rsidR="00E21E1B" w:rsidRDefault="0039287A" w:rsidP="003F3A21">
          <w:pPr>
            <w:pStyle w:val="titelkopf"/>
            <w:spacing w:line="240" w:lineRule="auto"/>
          </w:pPr>
          <w:r w:rsidRPr="0039287A">
            <w:rPr>
              <w:b/>
              <w:bCs/>
              <w:sz w:val="18"/>
              <w:szCs w:val="18"/>
            </w:rPr>
            <w:t>(*</w:t>
          </w:r>
          <w:r w:rsidRPr="000F1FFE">
            <w:rPr>
              <w:b/>
              <w:bCs/>
              <w:sz w:val="18"/>
              <w:szCs w:val="18"/>
              <w:vertAlign w:val="superscript"/>
            </w:rPr>
            <w:t>2</w:t>
          </w:r>
          <w:r w:rsidRPr="0039287A">
            <w:rPr>
              <w:b/>
              <w:bCs/>
              <w:sz w:val="18"/>
              <w:szCs w:val="18"/>
            </w:rPr>
            <w:t>) Montanuniversität Leoben</w:t>
          </w:r>
          <w:r>
            <w:rPr>
              <w:sz w:val="18"/>
              <w:szCs w:val="18"/>
            </w:rPr>
            <w:t xml:space="preserve"> </w:t>
          </w:r>
          <w:r>
            <w:rPr>
              <w:sz w:val="18"/>
              <w:szCs w:val="18"/>
            </w:rPr>
            <w:br/>
          </w:r>
          <w:r w:rsidR="001E046A" w:rsidRPr="001E046A">
            <w:rPr>
              <w:b/>
              <w:bCs/>
              <w:sz w:val="17"/>
              <w:szCs w:val="17"/>
            </w:rPr>
            <w:t>Lehrstuhl für Verfahrenstechnik des industriellen Umweltschutzes</w:t>
          </w:r>
        </w:p>
        <w:p w14:paraId="215CEC5C" w14:textId="75057570" w:rsidR="00E21E1B" w:rsidRPr="00FB6D7D" w:rsidRDefault="00E21E1B" w:rsidP="003F3A21">
          <w:pPr>
            <w:pStyle w:val="titelkopf"/>
            <w:spacing w:line="240" w:lineRule="auto"/>
          </w:pPr>
          <w:r w:rsidRPr="000F1FFE">
            <w:rPr>
              <w:szCs w:val="14"/>
            </w:rPr>
            <w:t>Lehrstuhlleiter: Univ.Prof. Dipl.-Ing. Dr.</w:t>
          </w:r>
          <w:r w:rsidR="00A86AD3">
            <w:rPr>
              <w:szCs w:val="14"/>
            </w:rPr>
            <w:t>-Ing.</w:t>
          </w:r>
          <w:r w:rsidRPr="000F1FFE">
            <w:rPr>
              <w:szCs w:val="14"/>
            </w:rPr>
            <w:t xml:space="preserve"> </w:t>
          </w:r>
          <w:r w:rsidR="0039287A" w:rsidRPr="000F1FFE">
            <w:rPr>
              <w:szCs w:val="14"/>
            </w:rPr>
            <w:t>Markus Lehner</w:t>
          </w:r>
          <w:r w:rsidRPr="000F1FFE">
            <w:rPr>
              <w:szCs w:val="14"/>
            </w:rPr>
            <w:t xml:space="preserve"> </w:t>
          </w:r>
          <w:r w:rsidR="0039287A" w:rsidRPr="000F1FFE">
            <w:rPr>
              <w:szCs w:val="14"/>
            </w:rPr>
            <w:br/>
          </w:r>
          <w:r w:rsidR="0039287A">
            <w:rPr>
              <w:szCs w:val="14"/>
            </w:rPr>
            <w:t xml:space="preserve">A-8700 Leoben, </w:t>
          </w:r>
          <w:r w:rsidRPr="000F1FFE">
            <w:rPr>
              <w:szCs w:val="14"/>
            </w:rPr>
            <w:t>Franz-Josef-Strasse 18</w:t>
          </w:r>
          <w:r w:rsidR="0039287A" w:rsidRPr="000F1FFE">
            <w:rPr>
              <w:szCs w:val="14"/>
            </w:rPr>
            <w:br/>
          </w:r>
          <w:r w:rsidR="0039287A">
            <w:rPr>
              <w:szCs w:val="14"/>
            </w:rPr>
            <w:t>Telefon: +43 3842/402-5001</w:t>
          </w:r>
          <w:r w:rsidR="0039287A" w:rsidRPr="000F1FFE">
            <w:rPr>
              <w:szCs w:val="14"/>
            </w:rPr>
            <w:br/>
          </w:r>
          <w:r w:rsidR="0039287A">
            <w:rPr>
              <w:szCs w:val="14"/>
            </w:rPr>
            <w:t xml:space="preserve">Email: </w:t>
          </w:r>
          <w:r w:rsidR="0039287A" w:rsidRPr="000F1FFE">
            <w:rPr>
              <w:szCs w:val="14"/>
            </w:rPr>
            <w:t>vtiu@unileoben.ac.at</w:t>
          </w:r>
          <w:r w:rsidR="0039287A">
            <w:rPr>
              <w:szCs w:val="14"/>
            </w:rPr>
            <w:t xml:space="preserve"> / Internet: </w:t>
          </w:r>
          <w:r w:rsidRPr="000F1FFE">
            <w:rPr>
              <w:szCs w:val="14"/>
            </w:rPr>
            <w:t>www.</w:t>
          </w:r>
          <w:r w:rsidR="0039287A" w:rsidRPr="000F1FFE">
            <w:rPr>
              <w:szCs w:val="14"/>
            </w:rPr>
            <w:t>vtiu-</w:t>
          </w:r>
          <w:r w:rsidRPr="000F1FFE">
            <w:rPr>
              <w:szCs w:val="14"/>
            </w:rPr>
            <w:t>unileoben.at</w:t>
          </w:r>
        </w:p>
      </w:tc>
    </w:tr>
  </w:tbl>
  <w:p w14:paraId="461F166B" w14:textId="5EE3580F" w:rsidR="008F6E26" w:rsidRPr="00255696" w:rsidRDefault="00DC1EFE" w:rsidP="003F3A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53A73"/>
    <w:multiLevelType w:val="hybridMultilevel"/>
    <w:tmpl w:val="054230E6"/>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98E5506"/>
    <w:multiLevelType w:val="hybridMultilevel"/>
    <w:tmpl w:val="0BCAA180"/>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2" w15:restartNumberingAfterBreak="0">
    <w:nsid w:val="563462E8"/>
    <w:multiLevelType w:val="hybridMultilevel"/>
    <w:tmpl w:val="6088C036"/>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6512E62"/>
    <w:multiLevelType w:val="multilevel"/>
    <w:tmpl w:val="AF3CFD06"/>
    <w:lvl w:ilvl="0">
      <w:start w:val="1"/>
      <w:numFmt w:val="decimal"/>
      <w:pStyle w:val="nummerierung1"/>
      <w:lvlText w:val="%1."/>
      <w:lvlJc w:val="left"/>
      <w:pPr>
        <w:tabs>
          <w:tab w:val="num" w:pos="709"/>
        </w:tabs>
        <w:ind w:left="709" w:hanging="709"/>
      </w:pPr>
      <w:rPr>
        <w:rFonts w:hint="default"/>
      </w:rPr>
    </w:lvl>
    <w:lvl w:ilvl="1">
      <w:start w:val="1"/>
      <w:numFmt w:val="decimal"/>
      <w:lvlRestart w:val="0"/>
      <w:pStyle w:val="nummerierung11"/>
      <w:lvlText w:val="%1.%2."/>
      <w:lvlJc w:val="left"/>
      <w:pPr>
        <w:tabs>
          <w:tab w:val="num" w:pos="709"/>
        </w:tabs>
        <w:ind w:left="709" w:hanging="709"/>
      </w:pPr>
      <w:rPr>
        <w:rFonts w:hint="default"/>
      </w:rPr>
    </w:lvl>
    <w:lvl w:ilvl="2">
      <w:start w:val="1"/>
      <w:numFmt w:val="decimal"/>
      <w:lvlRestart w:val="0"/>
      <w:pStyle w:val="nummerierung111"/>
      <w:lvlText w:val="%1.%2.%3."/>
      <w:lvlJc w:val="left"/>
      <w:pPr>
        <w:tabs>
          <w:tab w:val="num" w:pos="709"/>
        </w:tabs>
        <w:ind w:left="709" w:hanging="709"/>
      </w:pPr>
      <w:rPr>
        <w:rFonts w:hint="default"/>
      </w:rPr>
    </w:lvl>
    <w:lvl w:ilvl="3">
      <w:start w:val="1"/>
      <w:numFmt w:val="decimal"/>
      <w:lvlText w:val="%1.%2.%3.%4."/>
      <w:lvlJc w:val="left"/>
      <w:pPr>
        <w:ind w:left="1586" w:hanging="648"/>
      </w:pPr>
      <w:rPr>
        <w:rFonts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4" w15:restartNumberingAfterBreak="0">
    <w:nsid w:val="6E7260FE"/>
    <w:multiLevelType w:val="hybridMultilevel"/>
    <w:tmpl w:val="0518C61E"/>
    <w:lvl w:ilvl="0" w:tplc="E3304EEA">
      <w:start w:val="1"/>
      <w:numFmt w:val="bullet"/>
      <w:pStyle w:val="aufzhlung"/>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77990740"/>
    <w:multiLevelType w:val="hybridMultilevel"/>
    <w:tmpl w:val="8136765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5"/>
  </w:num>
  <w:num w:numId="28">
    <w:abstractNumId w:val="2"/>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SortMethod w:val="0000"/>
  <w:defaultTabStop w:val="708"/>
  <w:consecutiveHyphenLimit w:val="3"/>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CF9"/>
    <w:rsid w:val="000020BE"/>
    <w:rsid w:val="00040D1B"/>
    <w:rsid w:val="00054F70"/>
    <w:rsid w:val="00094003"/>
    <w:rsid w:val="000A3152"/>
    <w:rsid w:val="000A58A4"/>
    <w:rsid w:val="000C6A45"/>
    <w:rsid w:val="000E3FE0"/>
    <w:rsid w:val="000F1FFE"/>
    <w:rsid w:val="001036B5"/>
    <w:rsid w:val="001211DD"/>
    <w:rsid w:val="00124832"/>
    <w:rsid w:val="00127B2C"/>
    <w:rsid w:val="001A5A63"/>
    <w:rsid w:val="001D0FB4"/>
    <w:rsid w:val="001E046A"/>
    <w:rsid w:val="001E0636"/>
    <w:rsid w:val="001F4482"/>
    <w:rsid w:val="002255B7"/>
    <w:rsid w:val="002E16BA"/>
    <w:rsid w:val="00327891"/>
    <w:rsid w:val="00332ED8"/>
    <w:rsid w:val="0034007F"/>
    <w:rsid w:val="00343940"/>
    <w:rsid w:val="00345065"/>
    <w:rsid w:val="00361DA1"/>
    <w:rsid w:val="00374DD8"/>
    <w:rsid w:val="0039287A"/>
    <w:rsid w:val="00392931"/>
    <w:rsid w:val="003A6F94"/>
    <w:rsid w:val="003C4175"/>
    <w:rsid w:val="003C462B"/>
    <w:rsid w:val="003F00D0"/>
    <w:rsid w:val="00403683"/>
    <w:rsid w:val="00466302"/>
    <w:rsid w:val="00473F42"/>
    <w:rsid w:val="00491152"/>
    <w:rsid w:val="00510B1E"/>
    <w:rsid w:val="00525373"/>
    <w:rsid w:val="005567DD"/>
    <w:rsid w:val="00567D96"/>
    <w:rsid w:val="005D421D"/>
    <w:rsid w:val="005D54D2"/>
    <w:rsid w:val="005F0AA4"/>
    <w:rsid w:val="005F23C7"/>
    <w:rsid w:val="005F4F34"/>
    <w:rsid w:val="006215EA"/>
    <w:rsid w:val="00642E6F"/>
    <w:rsid w:val="00652177"/>
    <w:rsid w:val="006938DD"/>
    <w:rsid w:val="006A6883"/>
    <w:rsid w:val="006D078F"/>
    <w:rsid w:val="006D734E"/>
    <w:rsid w:val="00700D0A"/>
    <w:rsid w:val="007C7D3E"/>
    <w:rsid w:val="007F4829"/>
    <w:rsid w:val="00827799"/>
    <w:rsid w:val="00887A30"/>
    <w:rsid w:val="00897000"/>
    <w:rsid w:val="008D067C"/>
    <w:rsid w:val="008D28CD"/>
    <w:rsid w:val="008D2CAF"/>
    <w:rsid w:val="009605DA"/>
    <w:rsid w:val="00981963"/>
    <w:rsid w:val="00994563"/>
    <w:rsid w:val="009B0E8A"/>
    <w:rsid w:val="009B690D"/>
    <w:rsid w:val="009C02FE"/>
    <w:rsid w:val="009D5B0F"/>
    <w:rsid w:val="00A0179E"/>
    <w:rsid w:val="00A86AD3"/>
    <w:rsid w:val="00A87D91"/>
    <w:rsid w:val="00AB51DE"/>
    <w:rsid w:val="00AB63D1"/>
    <w:rsid w:val="00AB79A9"/>
    <w:rsid w:val="00AC6B73"/>
    <w:rsid w:val="00B05223"/>
    <w:rsid w:val="00B353AD"/>
    <w:rsid w:val="00B4791E"/>
    <w:rsid w:val="00B87B51"/>
    <w:rsid w:val="00B931CB"/>
    <w:rsid w:val="00B96738"/>
    <w:rsid w:val="00BA204A"/>
    <w:rsid w:val="00BD0E0D"/>
    <w:rsid w:val="00C06E1E"/>
    <w:rsid w:val="00C1470D"/>
    <w:rsid w:val="00C404CF"/>
    <w:rsid w:val="00C50027"/>
    <w:rsid w:val="00C60029"/>
    <w:rsid w:val="00C76D05"/>
    <w:rsid w:val="00C959A1"/>
    <w:rsid w:val="00C97B73"/>
    <w:rsid w:val="00CD6914"/>
    <w:rsid w:val="00CE0CBF"/>
    <w:rsid w:val="00CE4B7A"/>
    <w:rsid w:val="00CE7DFC"/>
    <w:rsid w:val="00D053DA"/>
    <w:rsid w:val="00D11C44"/>
    <w:rsid w:val="00D47FF2"/>
    <w:rsid w:val="00D56DDC"/>
    <w:rsid w:val="00DB414C"/>
    <w:rsid w:val="00DC1EFE"/>
    <w:rsid w:val="00E152C2"/>
    <w:rsid w:val="00E21E1B"/>
    <w:rsid w:val="00E238C4"/>
    <w:rsid w:val="00E36CF9"/>
    <w:rsid w:val="00E578EA"/>
    <w:rsid w:val="00E67297"/>
    <w:rsid w:val="00E72CFC"/>
    <w:rsid w:val="00E865B9"/>
    <w:rsid w:val="00EC2246"/>
    <w:rsid w:val="00EE1E38"/>
    <w:rsid w:val="00EE768A"/>
    <w:rsid w:val="00F25DA4"/>
    <w:rsid w:val="00FF1B5B"/>
    <w:rsid w:val="00FF2C7D"/>
    <w:rsid w:val="00FF6CB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C4181C"/>
  <w15:docId w15:val="{858B329A-710D-4AD0-BFDB-9DF1CA8DA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F4482"/>
    <w:pPr>
      <w:spacing w:line="260" w:lineRule="atLeast"/>
    </w:pPr>
    <w:rPr>
      <w:rFonts w:ascii="Arial" w:eastAsia="Calibri" w:hAnsi="Arial" w:cs="Times New Roman"/>
      <w:sz w:val="20"/>
    </w:rPr>
  </w:style>
  <w:style w:type="paragraph" w:styleId="berschrift1">
    <w:name w:val="heading 1"/>
    <w:basedOn w:val="Standard"/>
    <w:next w:val="flietext"/>
    <w:link w:val="berschrift1Zchn"/>
    <w:uiPriority w:val="9"/>
    <w:qFormat/>
    <w:rsid w:val="000E3FE0"/>
    <w:pPr>
      <w:keepNext/>
      <w:spacing w:before="720" w:after="260" w:line="240" w:lineRule="auto"/>
      <w:contextualSpacing/>
      <w:outlineLvl w:val="0"/>
    </w:pPr>
    <w:rPr>
      <w:rFonts w:eastAsia="Times New Roman" w:cs="Arial"/>
      <w:b/>
      <w:bCs/>
      <w:kern w:val="32"/>
      <w:sz w:val="28"/>
      <w:szCs w:val="28"/>
    </w:rPr>
  </w:style>
  <w:style w:type="paragraph" w:styleId="berschrift2">
    <w:name w:val="heading 2"/>
    <w:basedOn w:val="berschrift1"/>
    <w:next w:val="flietext"/>
    <w:link w:val="berschrift2Zchn"/>
    <w:uiPriority w:val="9"/>
    <w:qFormat/>
    <w:rsid w:val="000E3FE0"/>
    <w:pPr>
      <w:spacing w:before="520"/>
      <w:outlineLvl w:val="1"/>
    </w:pPr>
    <w:rPr>
      <w:rFonts w:cs="Times New Roman"/>
      <w:bCs w:val="0"/>
      <w:iCs/>
      <w:sz w:val="24"/>
    </w:rPr>
  </w:style>
  <w:style w:type="paragraph" w:styleId="berschrift3">
    <w:name w:val="heading 3"/>
    <w:basedOn w:val="berschrift2"/>
    <w:next w:val="flietext"/>
    <w:link w:val="berschrift3Zchn"/>
    <w:uiPriority w:val="9"/>
    <w:qFormat/>
    <w:rsid w:val="000E3FE0"/>
    <w:pPr>
      <w:outlineLvl w:val="2"/>
    </w:pPr>
    <w:rPr>
      <w:bCs/>
      <w:i/>
      <w:sz w:val="20"/>
      <w:szCs w:val="26"/>
    </w:rPr>
  </w:style>
  <w:style w:type="paragraph" w:styleId="berschrift4">
    <w:name w:val="heading 4"/>
    <w:basedOn w:val="berschrift3"/>
    <w:next w:val="flietext"/>
    <w:link w:val="berschrift4Zchn"/>
    <w:uiPriority w:val="9"/>
    <w:qFormat/>
    <w:rsid w:val="000E3FE0"/>
    <w:pPr>
      <w:outlineLvl w:val="3"/>
    </w:pPr>
    <w:rPr>
      <w:b w:val="0"/>
      <w:bCs w:val="0"/>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E3FE0"/>
    <w:rPr>
      <w:rFonts w:ascii="Arial" w:eastAsia="Times New Roman" w:hAnsi="Arial" w:cs="Arial"/>
      <w:b/>
      <w:bCs/>
      <w:kern w:val="32"/>
      <w:sz w:val="28"/>
      <w:szCs w:val="28"/>
    </w:rPr>
  </w:style>
  <w:style w:type="character" w:customStyle="1" w:styleId="berschrift2Zchn">
    <w:name w:val="Überschrift 2 Zchn"/>
    <w:basedOn w:val="Absatz-Standardschriftart"/>
    <w:link w:val="berschrift2"/>
    <w:uiPriority w:val="9"/>
    <w:rsid w:val="000E3FE0"/>
    <w:rPr>
      <w:rFonts w:ascii="Arial" w:eastAsia="Times New Roman" w:hAnsi="Arial" w:cs="Times New Roman"/>
      <w:b/>
      <w:iCs/>
      <w:kern w:val="32"/>
      <w:sz w:val="24"/>
      <w:szCs w:val="28"/>
    </w:rPr>
  </w:style>
  <w:style w:type="character" w:customStyle="1" w:styleId="berschrift3Zchn">
    <w:name w:val="Überschrift 3 Zchn"/>
    <w:basedOn w:val="Absatz-Standardschriftart"/>
    <w:link w:val="berschrift3"/>
    <w:uiPriority w:val="9"/>
    <w:rsid w:val="000E3FE0"/>
    <w:rPr>
      <w:rFonts w:ascii="Arial" w:eastAsia="Times New Roman" w:hAnsi="Arial" w:cs="Times New Roman"/>
      <w:b/>
      <w:bCs/>
      <w:i/>
      <w:iCs/>
      <w:kern w:val="32"/>
      <w:sz w:val="20"/>
      <w:szCs w:val="26"/>
    </w:rPr>
  </w:style>
  <w:style w:type="character" w:customStyle="1" w:styleId="berschrift4Zchn">
    <w:name w:val="Überschrift 4 Zchn"/>
    <w:basedOn w:val="Absatz-Standardschriftart"/>
    <w:link w:val="berschrift4"/>
    <w:uiPriority w:val="9"/>
    <w:rsid w:val="000E3FE0"/>
    <w:rPr>
      <w:rFonts w:ascii="Arial" w:eastAsia="Times New Roman" w:hAnsi="Arial" w:cs="Times New Roman"/>
      <w:i/>
      <w:iCs/>
      <w:kern w:val="32"/>
      <w:sz w:val="20"/>
      <w:szCs w:val="28"/>
    </w:rPr>
  </w:style>
  <w:style w:type="paragraph" w:styleId="Kopfzeile">
    <w:name w:val="header"/>
    <w:basedOn w:val="Standard"/>
    <w:link w:val="KopfzeileZchn"/>
    <w:rsid w:val="000E3FE0"/>
    <w:pPr>
      <w:pBdr>
        <w:bottom w:val="single" w:sz="2" w:space="3" w:color="auto"/>
      </w:pBdr>
      <w:tabs>
        <w:tab w:val="right" w:pos="8505"/>
      </w:tabs>
      <w:spacing w:before="240"/>
    </w:pPr>
    <w:rPr>
      <w:sz w:val="17"/>
      <w:szCs w:val="17"/>
      <w:lang w:val="de-DE"/>
    </w:rPr>
  </w:style>
  <w:style w:type="character" w:customStyle="1" w:styleId="KopfzeileZchn">
    <w:name w:val="Kopfzeile Zchn"/>
    <w:basedOn w:val="Absatz-Standardschriftart"/>
    <w:link w:val="Kopfzeile"/>
    <w:rsid w:val="000E3FE0"/>
    <w:rPr>
      <w:rFonts w:ascii="Arial" w:eastAsia="Calibri" w:hAnsi="Arial" w:cs="Times New Roman"/>
      <w:sz w:val="17"/>
      <w:szCs w:val="17"/>
      <w:lang w:val="de-DE"/>
    </w:rPr>
  </w:style>
  <w:style w:type="paragraph" w:styleId="Fuzeile">
    <w:name w:val="footer"/>
    <w:basedOn w:val="Standard"/>
    <w:link w:val="FuzeileZchn"/>
    <w:uiPriority w:val="99"/>
    <w:unhideWhenUsed/>
    <w:rsid w:val="000E3FE0"/>
    <w:pPr>
      <w:tabs>
        <w:tab w:val="center" w:pos="4536"/>
        <w:tab w:val="right" w:pos="9072"/>
      </w:tabs>
      <w:spacing w:before="40" w:line="200" w:lineRule="atLeast"/>
    </w:pPr>
    <w:rPr>
      <w:sz w:val="17"/>
      <w:szCs w:val="17"/>
    </w:rPr>
  </w:style>
  <w:style w:type="character" w:customStyle="1" w:styleId="FuzeileZchn">
    <w:name w:val="Fußzeile Zchn"/>
    <w:basedOn w:val="Absatz-Standardschriftart"/>
    <w:link w:val="Fuzeile"/>
    <w:uiPriority w:val="99"/>
    <w:rsid w:val="000E3FE0"/>
    <w:rPr>
      <w:rFonts w:ascii="Arial" w:eastAsia="Calibri" w:hAnsi="Arial" w:cs="Times New Roman"/>
      <w:sz w:val="17"/>
      <w:szCs w:val="17"/>
    </w:rPr>
  </w:style>
  <w:style w:type="table" w:styleId="Tabellenraster">
    <w:name w:val="Table Grid"/>
    <w:basedOn w:val="NormaleTabelle"/>
    <w:uiPriority w:val="59"/>
    <w:rsid w:val="000E3FE0"/>
    <w:rPr>
      <w:rFonts w:ascii="Calibri" w:eastAsia="Calibri" w:hAnsi="Calibri" w:cs="Times New Roman"/>
      <w:sz w:val="20"/>
      <w:szCs w:val="20"/>
      <w:lang w:eastAsia="de-A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lietext">
    <w:name w:val="fließtext"/>
    <w:basedOn w:val="Standard"/>
    <w:link w:val="flietextZchn"/>
    <w:qFormat/>
    <w:rsid w:val="000E3FE0"/>
    <w:pPr>
      <w:spacing w:after="260"/>
      <w:jc w:val="both"/>
    </w:pPr>
    <w:rPr>
      <w:rFonts w:eastAsia="Times New Roman"/>
      <w:szCs w:val="20"/>
      <w:lang w:eastAsia="de-DE"/>
    </w:rPr>
  </w:style>
  <w:style w:type="paragraph" w:customStyle="1" w:styleId="titelkopf">
    <w:name w:val="titel_kopf"/>
    <w:basedOn w:val="Standard"/>
    <w:rsid w:val="000E3FE0"/>
    <w:rPr>
      <w:rFonts w:ascii="Century Gothic" w:hAnsi="Century Gothic"/>
      <w:noProof/>
      <w:sz w:val="14"/>
      <w:lang w:eastAsia="de-AT"/>
    </w:rPr>
  </w:style>
  <w:style w:type="character" w:styleId="Hervorhebung">
    <w:name w:val="Emphasis"/>
    <w:basedOn w:val="Absatz-Standardschriftart"/>
    <w:uiPriority w:val="20"/>
    <w:qFormat/>
    <w:rsid w:val="000E3FE0"/>
    <w:rPr>
      <w:i/>
      <w:iCs/>
    </w:rPr>
  </w:style>
  <w:style w:type="character" w:styleId="Fett">
    <w:name w:val="Strong"/>
    <w:basedOn w:val="Absatz-Standardschriftart"/>
    <w:uiPriority w:val="22"/>
    <w:qFormat/>
    <w:rsid w:val="000E3FE0"/>
    <w:rPr>
      <w:b/>
      <w:bCs/>
    </w:rPr>
  </w:style>
  <w:style w:type="paragraph" w:customStyle="1" w:styleId="aufzhlung">
    <w:name w:val="aufzählung"/>
    <w:basedOn w:val="flietext"/>
    <w:qFormat/>
    <w:rsid w:val="000E3FE0"/>
    <w:pPr>
      <w:numPr>
        <w:numId w:val="1"/>
      </w:numPr>
      <w:tabs>
        <w:tab w:val="num" w:pos="360"/>
      </w:tabs>
      <w:spacing w:before="40" w:after="40"/>
      <w:ind w:left="369" w:hanging="227"/>
      <w:jc w:val="left"/>
    </w:pPr>
  </w:style>
  <w:style w:type="paragraph" w:customStyle="1" w:styleId="nummerierung1">
    <w:name w:val="nummerierung 1"/>
    <w:basedOn w:val="flietext"/>
    <w:qFormat/>
    <w:rsid w:val="000E3FE0"/>
    <w:pPr>
      <w:numPr>
        <w:numId w:val="2"/>
      </w:numPr>
      <w:spacing w:before="40" w:after="40"/>
      <w:jc w:val="left"/>
    </w:pPr>
  </w:style>
  <w:style w:type="paragraph" w:customStyle="1" w:styleId="nummerierung11">
    <w:name w:val="nummerierung 1.1"/>
    <w:basedOn w:val="nummerierung1"/>
    <w:qFormat/>
    <w:rsid w:val="00B931CB"/>
    <w:pPr>
      <w:numPr>
        <w:ilvl w:val="1"/>
      </w:numPr>
    </w:pPr>
  </w:style>
  <w:style w:type="paragraph" w:customStyle="1" w:styleId="nummerierung111">
    <w:name w:val="nummerierung 1.1.1"/>
    <w:basedOn w:val="nummerierung11"/>
    <w:qFormat/>
    <w:rsid w:val="000E3FE0"/>
    <w:pPr>
      <w:numPr>
        <w:ilvl w:val="2"/>
      </w:numPr>
      <w:tabs>
        <w:tab w:val="clear" w:pos="709"/>
        <w:tab w:val="num" w:pos="360"/>
      </w:tabs>
    </w:pPr>
  </w:style>
  <w:style w:type="character" w:customStyle="1" w:styleId="flietextZchn">
    <w:name w:val="fließtext Zchn"/>
    <w:basedOn w:val="Absatz-Standardschriftart"/>
    <w:link w:val="flietext"/>
    <w:rsid w:val="000E3FE0"/>
    <w:rPr>
      <w:rFonts w:ascii="Arial" w:eastAsia="Times New Roman" w:hAnsi="Arial" w:cs="Times New Roman"/>
      <w:sz w:val="20"/>
      <w:szCs w:val="20"/>
      <w:lang w:eastAsia="de-DE"/>
    </w:rPr>
  </w:style>
  <w:style w:type="paragraph" w:styleId="Funotentext">
    <w:name w:val="footnote text"/>
    <w:basedOn w:val="Standard"/>
    <w:link w:val="FunotentextZchn"/>
    <w:uiPriority w:val="99"/>
    <w:rsid w:val="000E3FE0"/>
    <w:pPr>
      <w:tabs>
        <w:tab w:val="left" w:pos="284"/>
      </w:tabs>
      <w:spacing w:before="40" w:line="240" w:lineRule="auto"/>
      <w:ind w:left="284" w:hanging="284"/>
    </w:pPr>
    <w:rPr>
      <w:sz w:val="16"/>
      <w:szCs w:val="16"/>
      <w:lang w:val="de-DE"/>
    </w:rPr>
  </w:style>
  <w:style w:type="character" w:customStyle="1" w:styleId="FunotentextZchn">
    <w:name w:val="Fußnotentext Zchn"/>
    <w:basedOn w:val="Absatz-Standardschriftart"/>
    <w:link w:val="Funotentext"/>
    <w:uiPriority w:val="99"/>
    <w:rsid w:val="000E3FE0"/>
    <w:rPr>
      <w:rFonts w:ascii="Arial" w:eastAsia="Calibri" w:hAnsi="Arial" w:cs="Times New Roman"/>
      <w:sz w:val="16"/>
      <w:szCs w:val="16"/>
      <w:lang w:val="de-DE"/>
    </w:rPr>
  </w:style>
  <w:style w:type="character" w:styleId="Funotenzeichen">
    <w:name w:val="footnote reference"/>
    <w:basedOn w:val="Absatz-Standardschriftart"/>
    <w:uiPriority w:val="99"/>
    <w:semiHidden/>
    <w:unhideWhenUsed/>
    <w:rsid w:val="000E3FE0"/>
    <w:rPr>
      <w:vertAlign w:val="superscript"/>
    </w:rPr>
  </w:style>
  <w:style w:type="paragraph" w:styleId="Beschriftung">
    <w:name w:val="caption"/>
    <w:basedOn w:val="Standard"/>
    <w:next w:val="Standard"/>
    <w:uiPriority w:val="35"/>
    <w:qFormat/>
    <w:rsid w:val="000E3FE0"/>
    <w:pPr>
      <w:spacing w:after="200" w:line="240" w:lineRule="auto"/>
      <w:jc w:val="center"/>
    </w:pPr>
    <w:rPr>
      <w:b/>
      <w:bCs/>
      <w:sz w:val="18"/>
      <w:szCs w:val="18"/>
    </w:rPr>
  </w:style>
  <w:style w:type="paragraph" w:customStyle="1" w:styleId="tabellentext">
    <w:name w:val="tabellentext"/>
    <w:basedOn w:val="flietext"/>
    <w:qFormat/>
    <w:rsid w:val="000E3FE0"/>
    <w:pPr>
      <w:spacing w:before="40" w:after="40"/>
      <w:jc w:val="left"/>
    </w:pPr>
    <w:rPr>
      <w:sz w:val="18"/>
      <w:szCs w:val="18"/>
    </w:rPr>
  </w:style>
  <w:style w:type="paragraph" w:customStyle="1" w:styleId="tabellenkopf">
    <w:name w:val="tabellenkopf"/>
    <w:basedOn w:val="flietext"/>
    <w:qFormat/>
    <w:rsid w:val="000E3FE0"/>
    <w:pPr>
      <w:spacing w:before="40" w:after="40"/>
      <w:jc w:val="left"/>
    </w:pPr>
    <w:rPr>
      <w:b/>
      <w:i/>
      <w:sz w:val="18"/>
      <w:szCs w:val="18"/>
    </w:rPr>
  </w:style>
  <w:style w:type="paragraph" w:customStyle="1" w:styleId="anmerkung">
    <w:name w:val="anmerkung"/>
    <w:basedOn w:val="flietext"/>
    <w:qFormat/>
    <w:rsid w:val="000E3FE0"/>
    <w:pPr>
      <w:spacing w:after="80" w:line="240" w:lineRule="auto"/>
      <w:jc w:val="left"/>
    </w:pPr>
    <w:rPr>
      <w:sz w:val="16"/>
      <w:szCs w:val="16"/>
    </w:rPr>
  </w:style>
  <w:style w:type="paragraph" w:styleId="Sprechblasentext">
    <w:name w:val="Balloon Text"/>
    <w:basedOn w:val="Standard"/>
    <w:link w:val="SprechblasentextZchn"/>
    <w:uiPriority w:val="99"/>
    <w:semiHidden/>
    <w:unhideWhenUsed/>
    <w:rsid w:val="000E3FE0"/>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E3FE0"/>
    <w:rPr>
      <w:rFonts w:ascii="Tahoma" w:eastAsia="Calibri" w:hAnsi="Tahoma" w:cs="Tahoma"/>
      <w:sz w:val="16"/>
      <w:szCs w:val="16"/>
    </w:rPr>
  </w:style>
  <w:style w:type="character" w:styleId="Hyperlink">
    <w:name w:val="Hyperlink"/>
    <w:basedOn w:val="Absatz-Standardschriftart"/>
    <w:uiPriority w:val="99"/>
    <w:qFormat/>
    <w:rsid w:val="00E67297"/>
    <w:rPr>
      <w:color w:val="auto"/>
      <w:u w:val="single"/>
    </w:rPr>
  </w:style>
  <w:style w:type="paragraph" w:styleId="Listenabsatz">
    <w:name w:val="List Paragraph"/>
    <w:basedOn w:val="Standard"/>
    <w:uiPriority w:val="34"/>
    <w:qFormat/>
    <w:rsid w:val="00345065"/>
    <w:pPr>
      <w:spacing w:after="160" w:line="259" w:lineRule="auto"/>
      <w:ind w:left="720"/>
      <w:contextualSpacing/>
    </w:pPr>
    <w:rPr>
      <w:rFonts w:asciiTheme="minorHAnsi" w:eastAsiaTheme="minorHAnsi" w:hAnsiTheme="minorHAnsi" w:cstheme="minorBidi"/>
      <w:sz w:val="22"/>
    </w:rPr>
  </w:style>
  <w:style w:type="paragraph" w:customStyle="1" w:styleId="Default">
    <w:name w:val="Default"/>
    <w:rsid w:val="00EC2246"/>
    <w:pPr>
      <w:autoSpaceDE w:val="0"/>
      <w:autoSpaceDN w:val="0"/>
      <w:adjustRightInd w:val="0"/>
    </w:pPr>
    <w:rPr>
      <w:rFonts w:ascii="Arial" w:hAnsi="Arial" w:cs="Arial"/>
      <w:color w:val="000000"/>
      <w:sz w:val="24"/>
      <w:szCs w:val="24"/>
    </w:rPr>
  </w:style>
  <w:style w:type="character" w:styleId="Kommentarzeichen">
    <w:name w:val="annotation reference"/>
    <w:basedOn w:val="Absatz-Standardschriftart"/>
    <w:uiPriority w:val="99"/>
    <w:semiHidden/>
    <w:unhideWhenUsed/>
    <w:rsid w:val="00700D0A"/>
    <w:rPr>
      <w:sz w:val="16"/>
      <w:szCs w:val="16"/>
    </w:rPr>
  </w:style>
  <w:style w:type="paragraph" w:styleId="Kommentartext">
    <w:name w:val="annotation text"/>
    <w:basedOn w:val="Standard"/>
    <w:link w:val="KommentartextZchn"/>
    <w:uiPriority w:val="99"/>
    <w:semiHidden/>
    <w:unhideWhenUsed/>
    <w:rsid w:val="00700D0A"/>
    <w:pPr>
      <w:spacing w:line="240" w:lineRule="auto"/>
    </w:pPr>
    <w:rPr>
      <w:szCs w:val="20"/>
    </w:rPr>
  </w:style>
  <w:style w:type="character" w:customStyle="1" w:styleId="KommentartextZchn">
    <w:name w:val="Kommentartext Zchn"/>
    <w:basedOn w:val="Absatz-Standardschriftart"/>
    <w:link w:val="Kommentartext"/>
    <w:uiPriority w:val="99"/>
    <w:semiHidden/>
    <w:rsid w:val="00700D0A"/>
    <w:rPr>
      <w:rFonts w:ascii="Arial" w:eastAsia="Calibri" w:hAnsi="Arial" w:cs="Times New Roman"/>
      <w:sz w:val="20"/>
      <w:szCs w:val="20"/>
    </w:rPr>
  </w:style>
  <w:style w:type="paragraph" w:styleId="Kommentarthema">
    <w:name w:val="annotation subject"/>
    <w:basedOn w:val="Kommentartext"/>
    <w:next w:val="Kommentartext"/>
    <w:link w:val="KommentarthemaZchn"/>
    <w:uiPriority w:val="99"/>
    <w:semiHidden/>
    <w:unhideWhenUsed/>
    <w:rsid w:val="00700D0A"/>
    <w:rPr>
      <w:b/>
      <w:bCs/>
    </w:rPr>
  </w:style>
  <w:style w:type="character" w:customStyle="1" w:styleId="KommentarthemaZchn">
    <w:name w:val="Kommentarthema Zchn"/>
    <w:basedOn w:val="KommentartextZchn"/>
    <w:link w:val="Kommentarthema"/>
    <w:uiPriority w:val="99"/>
    <w:semiHidden/>
    <w:rsid w:val="00700D0A"/>
    <w:rPr>
      <w:rFonts w:ascii="Arial" w:eastAsia="Calibri" w:hAnsi="Arial" w:cs="Times New Roman"/>
      <w:b/>
      <w:bCs/>
      <w:sz w:val="20"/>
      <w:szCs w:val="20"/>
    </w:rPr>
  </w:style>
  <w:style w:type="character" w:customStyle="1" w:styleId="NichtaufgelsteErwhnung1">
    <w:name w:val="Nicht aufgelöste Erwähnung1"/>
    <w:basedOn w:val="Absatz-Standardschriftart"/>
    <w:uiPriority w:val="99"/>
    <w:semiHidden/>
    <w:unhideWhenUsed/>
    <w:rsid w:val="00392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V:\Word\OVGW-Allgemein\aktuell\BERICHT_Vorlage_2013.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23F46-CB64-418C-8915-480EFF52B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BERICHT_Vorlage_2013</Template>
  <TotalTime>0</TotalTime>
  <Pages>2</Pages>
  <Words>750</Words>
  <Characters>4730</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ÖVGW</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Schrodis-Krejca Patricia</dc:creator>
  <cp:lastModifiedBy>Katrin Salbrechter</cp:lastModifiedBy>
  <cp:revision>4</cp:revision>
  <cp:lastPrinted>2011-07-12T20:16:00Z</cp:lastPrinted>
  <dcterms:created xsi:type="dcterms:W3CDTF">2021-05-27T12:45:00Z</dcterms:created>
  <dcterms:modified xsi:type="dcterms:W3CDTF">2021-05-27T13:23:00Z</dcterms:modified>
</cp:coreProperties>
</file>